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D1" w:rsidRDefault="00C148D1" w:rsidP="00C148D1">
      <w:pPr>
        <w:pStyle w:val="Heading1"/>
        <w:jc w:val="center"/>
        <w:rPr>
          <w:sz w:val="40"/>
        </w:rPr>
      </w:pPr>
      <w:r>
        <w:rPr>
          <w:noProof/>
          <w:lang w:eastAsia="en-AU"/>
        </w:rPr>
        <w:drawing>
          <wp:inline distT="0" distB="0" distL="0" distR="0" wp14:anchorId="0D76ADBC" wp14:editId="1CF3CDD4">
            <wp:extent cx="2216989" cy="464580"/>
            <wp:effectExtent l="0" t="0" r="0" b="0"/>
            <wp:docPr id="9" name="Picture 9" descr="cid:image001.jpg@01D1F959.C0CD4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F959.C0CD4A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52846" cy="472094"/>
                    </a:xfrm>
                    <a:prstGeom prst="rect">
                      <a:avLst/>
                    </a:prstGeom>
                    <a:noFill/>
                    <a:ln>
                      <a:noFill/>
                    </a:ln>
                  </pic:spPr>
                </pic:pic>
              </a:graphicData>
            </a:graphic>
          </wp:inline>
        </w:drawing>
      </w:r>
    </w:p>
    <w:p w:rsidR="00410EE2" w:rsidRPr="0079514F" w:rsidRDefault="009E6420" w:rsidP="00410EE2">
      <w:pPr>
        <w:pStyle w:val="Heading1"/>
        <w:jc w:val="center"/>
        <w:rPr>
          <w:sz w:val="40"/>
        </w:rPr>
      </w:pPr>
      <w:r w:rsidRPr="0079514F">
        <w:rPr>
          <w:sz w:val="40"/>
        </w:rPr>
        <w:t>T</w:t>
      </w:r>
      <w:r w:rsidR="003B2F81" w:rsidRPr="0079514F">
        <w:rPr>
          <w:sz w:val="40"/>
        </w:rPr>
        <w:t xml:space="preserve">raditional </w:t>
      </w:r>
      <w:r w:rsidRPr="0079514F">
        <w:rPr>
          <w:sz w:val="40"/>
        </w:rPr>
        <w:t>E</w:t>
      </w:r>
      <w:r w:rsidR="003B2F81" w:rsidRPr="0079514F">
        <w:rPr>
          <w:sz w:val="40"/>
        </w:rPr>
        <w:t xml:space="preserve">cological </w:t>
      </w:r>
      <w:r w:rsidR="00C148D1">
        <w:rPr>
          <w:sz w:val="40"/>
        </w:rPr>
        <w:t>K</w:t>
      </w:r>
      <w:r w:rsidR="006C7D12" w:rsidRPr="0079514F">
        <w:rPr>
          <w:sz w:val="40"/>
        </w:rPr>
        <w:t>nowledge (</w:t>
      </w:r>
      <w:r w:rsidR="003B2F81" w:rsidRPr="0079514F">
        <w:rPr>
          <w:sz w:val="40"/>
        </w:rPr>
        <w:t>TEK) Review</w:t>
      </w:r>
    </w:p>
    <w:p w:rsidR="005465AA" w:rsidRDefault="009E6420" w:rsidP="00410EE2">
      <w:pPr>
        <w:pStyle w:val="Heading1"/>
        <w:jc w:val="center"/>
        <w:rPr>
          <w:sz w:val="32"/>
        </w:rPr>
      </w:pPr>
      <w:r w:rsidRPr="00410EE2">
        <w:rPr>
          <w:sz w:val="32"/>
        </w:rPr>
        <w:t>COMMUNITY SUMMARY</w:t>
      </w:r>
      <w:bookmarkStart w:id="0" w:name="_GoBack"/>
      <w:bookmarkEnd w:id="0"/>
    </w:p>
    <w:p w:rsidR="00410EE2" w:rsidRPr="00410EE2" w:rsidRDefault="00410EE2" w:rsidP="00410EE2">
      <w:pPr>
        <w:pStyle w:val="Heading2"/>
        <w:jc w:val="center"/>
      </w:pPr>
      <w:r>
        <w:t>August 2016</w:t>
      </w:r>
    </w:p>
    <w:p w:rsidR="009E6420" w:rsidRDefault="009E6420"/>
    <w:p w:rsidR="003B2F81" w:rsidRDefault="003B2F81" w:rsidP="003B2F81">
      <w:r>
        <w:t xml:space="preserve">This Traditional Ecological Knowledge (TEK) Project is a database system managed by the Torres Strait Regional Authority (TSRA) Land and Sea Management Unit (LSMU).  The TEK project was initiated by TSRA in 2011 and is now established in nine Torres Strait Island communities through funding from the </w:t>
      </w:r>
      <w:r w:rsidRPr="00BE48A5">
        <w:rPr>
          <w:i/>
        </w:rPr>
        <w:t>National Landcare Program</w:t>
      </w:r>
      <w:r>
        <w:t xml:space="preserve"> (NLP) program.   The TEK database allows communities to record protect and share traditional knowledge in a culturally appropriate way.   </w:t>
      </w:r>
    </w:p>
    <w:p w:rsidR="003B2F81" w:rsidRDefault="003B2F81" w:rsidP="009E6420">
      <w:r>
        <w:t xml:space="preserve">In June 2016, the TSRA Land and Sea Management Unit completed a review of the TEK project to determine what communities thought of the system, how </w:t>
      </w:r>
      <w:r w:rsidR="006C7D12">
        <w:t xml:space="preserve">system use </w:t>
      </w:r>
      <w:r>
        <w:t xml:space="preserve">can be improved, what traditional knowledge communities would like protected and how the TSRA can work with communities to increase </w:t>
      </w:r>
      <w:r w:rsidR="006C7D12">
        <w:t>profile of TEK in communities</w:t>
      </w:r>
      <w:r>
        <w:t xml:space="preserve">.  </w:t>
      </w:r>
    </w:p>
    <w:p w:rsidR="000866DF" w:rsidRDefault="000866DF" w:rsidP="00C148D1">
      <w:pPr>
        <w:jc w:val="center"/>
      </w:pPr>
      <w:r>
        <w:rPr>
          <w:noProof/>
          <w:lang w:eastAsia="en-AU"/>
        </w:rPr>
        <w:drawing>
          <wp:inline distT="0" distB="0" distL="0" distR="0" wp14:anchorId="21149D24" wp14:editId="2EDD2BE5">
            <wp:extent cx="3206893" cy="2122098"/>
            <wp:effectExtent l="0" t="0" r="0" b="0"/>
            <wp:docPr id="3" name="Picture 3" descr="C:\Users\mcleanm\AppData\Local\Microsoft\Windows\Temporary Internet Files\Content.Word\20160309_111344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leanm\AppData\Local\Microsoft\Windows\Temporary Internet Files\Content.Word\20160309_111344_resiz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4436" cy="2120472"/>
                    </a:xfrm>
                    <a:prstGeom prst="rect">
                      <a:avLst/>
                    </a:prstGeom>
                    <a:noFill/>
                    <a:ln>
                      <a:noFill/>
                    </a:ln>
                  </pic:spPr>
                </pic:pic>
              </a:graphicData>
            </a:graphic>
          </wp:inline>
        </w:drawing>
      </w:r>
    </w:p>
    <w:p w:rsidR="003B2F81" w:rsidRDefault="003B2F81" w:rsidP="009E6420">
      <w:r>
        <w:t xml:space="preserve">As a part of this review process, TSRA staff spoke to </w:t>
      </w:r>
      <w:r w:rsidR="0033495F">
        <w:t xml:space="preserve">stakeholders </w:t>
      </w:r>
      <w:r w:rsidR="00D728D4">
        <w:t xml:space="preserve">from five </w:t>
      </w:r>
      <w:r w:rsidR="00410EE2">
        <w:t xml:space="preserve">of the established </w:t>
      </w:r>
      <w:r w:rsidR="00D728D4">
        <w:t xml:space="preserve">TEK communities </w:t>
      </w:r>
      <w:r w:rsidR="00410EE2">
        <w:t xml:space="preserve">including </w:t>
      </w:r>
      <w:r w:rsidR="00D728D4">
        <w:t>Boigu, Badu, Mabuiag, Mua and Warraber</w:t>
      </w:r>
      <w:r w:rsidR="00410EE2">
        <w:t>.</w:t>
      </w:r>
      <w:r w:rsidR="00D728D4">
        <w:t xml:space="preserve"> </w:t>
      </w:r>
      <w:r w:rsidR="00410EE2">
        <w:t xml:space="preserve"> </w:t>
      </w:r>
      <w:r w:rsidR="00DD3E3F">
        <w:t xml:space="preserve">A total of </w:t>
      </w:r>
      <w:r w:rsidR="007373F6">
        <w:t xml:space="preserve">53 </w:t>
      </w:r>
      <w:r w:rsidR="00DD3E3F">
        <w:t>s</w:t>
      </w:r>
      <w:r w:rsidR="00D728D4">
        <w:t xml:space="preserve">takeholders </w:t>
      </w:r>
      <w:r w:rsidR="007373F6">
        <w:t>we</w:t>
      </w:r>
      <w:r w:rsidR="00DD3E3F">
        <w:t>re</w:t>
      </w:r>
      <w:r w:rsidR="007373F6">
        <w:t xml:space="preserve"> interviewed including </w:t>
      </w:r>
      <w:r w:rsidR="00D728D4">
        <w:t>RNTBC Chairs, interested community members, Councillors, Elders, LSMU Rangers</w:t>
      </w:r>
      <w:r w:rsidR="007373F6">
        <w:t xml:space="preserve">, My Pathway coordinators, project consultants and TSRA staff. </w:t>
      </w:r>
    </w:p>
    <w:p w:rsidR="009047EE" w:rsidRDefault="009047EE" w:rsidP="009E6420">
      <w:r>
        <w:rPr>
          <w:noProof/>
          <w:lang w:eastAsia="en-AU"/>
        </w:rPr>
        <w:drawing>
          <wp:inline distT="0" distB="0" distL="0" distR="0" wp14:anchorId="2122A8A9" wp14:editId="49AD1A8F">
            <wp:extent cx="5731510" cy="1891030"/>
            <wp:effectExtent l="0" t="0" r="2540" b="0"/>
            <wp:docPr id="4" name="Picture 4" descr="C:\Users\mcleanm\AppData\Local\Microsoft\Windows\Temporary Internet Files\Content.Word\20160301_105954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cleanm\AppData\Local\Microsoft\Windows\Temporary Internet Files\Content.Word\20160301_105954_resiz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891030"/>
                    </a:xfrm>
                    <a:prstGeom prst="rect">
                      <a:avLst/>
                    </a:prstGeom>
                    <a:noFill/>
                    <a:ln>
                      <a:noFill/>
                    </a:ln>
                  </pic:spPr>
                </pic:pic>
              </a:graphicData>
            </a:graphic>
          </wp:inline>
        </w:drawing>
      </w:r>
    </w:p>
    <w:p w:rsidR="00DD3E3F" w:rsidRDefault="00DD3E3F" w:rsidP="00DD3E3F">
      <w:pPr>
        <w:spacing w:line="20" w:lineRule="atLeast"/>
      </w:pPr>
      <w:r>
        <w:lastRenderedPageBreak/>
        <w:t xml:space="preserve">Community consultations with Traditional Owners </w:t>
      </w:r>
      <w:proofErr w:type="gramStart"/>
      <w:r>
        <w:t>were framed</w:t>
      </w:r>
      <w:proofErr w:type="gramEnd"/>
      <w:r>
        <w:t xml:space="preserve"> to determine community opinions of the TEK project, community perceptions on the level of success of the project and suggestions for improving the project into the future.  Consultation with the TSRA staff and consultants was framed to determine how TSRA can better incorporate Traditional Knowledge into Land and Sea work, how the usage of TEK Systems can be improved and how TSRA can best staff and resource the TEK Project.</w:t>
      </w:r>
    </w:p>
    <w:p w:rsidR="009E6420" w:rsidRDefault="009E6420" w:rsidP="009E6420">
      <w:r>
        <w:t>A series of recommendations have come out of the review that outline: how to increase the use of the TEK System in communities, how to better incorporate TEK into TSRA land and sea management planning, and how to best utilise project resources (staff and funding) for the remaining two years of National Landcare Project funding (until June 2018)</w:t>
      </w:r>
    </w:p>
    <w:p w:rsidR="009E6420" w:rsidRDefault="009E6420" w:rsidP="009E6420">
      <w:r>
        <w:t xml:space="preserve">The key recommendations arising from the TEK Project Review include: </w:t>
      </w:r>
    </w:p>
    <w:p w:rsidR="009E6420" w:rsidRDefault="009E6420" w:rsidP="009E6420">
      <w:pPr>
        <w:pStyle w:val="ListParagraph"/>
        <w:numPr>
          <w:ilvl w:val="0"/>
          <w:numId w:val="1"/>
        </w:numPr>
      </w:pPr>
      <w:r>
        <w:t>Establish a TEK Working Group to prioritise recommendations arising from TEK Review</w:t>
      </w:r>
    </w:p>
    <w:p w:rsidR="009E6420" w:rsidRDefault="009E6420" w:rsidP="009E6420">
      <w:pPr>
        <w:pStyle w:val="ListParagraph"/>
        <w:numPr>
          <w:ilvl w:val="0"/>
          <w:numId w:val="1"/>
        </w:numPr>
      </w:pPr>
      <w:r>
        <w:t xml:space="preserve">Improve community access to TEK systems through investigation of offline data upload </w:t>
      </w:r>
    </w:p>
    <w:p w:rsidR="009E6420" w:rsidRDefault="009E6420" w:rsidP="009E6420">
      <w:pPr>
        <w:pStyle w:val="ListParagraph"/>
        <w:numPr>
          <w:ilvl w:val="0"/>
          <w:numId w:val="1"/>
        </w:numPr>
      </w:pPr>
      <w:r>
        <w:t>Further promotion of TEK Systems</w:t>
      </w:r>
    </w:p>
    <w:p w:rsidR="009E6420" w:rsidRDefault="009E6420" w:rsidP="009E6420">
      <w:pPr>
        <w:pStyle w:val="ListParagraph"/>
        <w:numPr>
          <w:ilvl w:val="0"/>
          <w:numId w:val="1"/>
        </w:numPr>
      </w:pPr>
      <w:r>
        <w:t>Focus on key TEK communities in order to acquire a baseline level of ecological data in these</w:t>
      </w:r>
    </w:p>
    <w:p w:rsidR="009E6420" w:rsidRDefault="009E6420" w:rsidP="009E6420">
      <w:pPr>
        <w:pStyle w:val="ListParagraph"/>
        <w:numPr>
          <w:ilvl w:val="0"/>
          <w:numId w:val="1"/>
        </w:numPr>
      </w:pPr>
      <w:r>
        <w:t>Increase staffing levels for TEK Project to adequately support TEK Systems</w:t>
      </w:r>
    </w:p>
    <w:p w:rsidR="009E6420" w:rsidRDefault="009E6420" w:rsidP="009E6420">
      <w:pPr>
        <w:pStyle w:val="ListParagraph"/>
        <w:numPr>
          <w:ilvl w:val="0"/>
          <w:numId w:val="1"/>
        </w:numPr>
      </w:pPr>
      <w:r>
        <w:t xml:space="preserve">Work with communities to develop discrete TEK projects </w:t>
      </w:r>
    </w:p>
    <w:p w:rsidR="009E6420" w:rsidRDefault="009E6420" w:rsidP="009E6420">
      <w:pPr>
        <w:pStyle w:val="ListParagraph"/>
        <w:numPr>
          <w:ilvl w:val="0"/>
          <w:numId w:val="1"/>
        </w:numPr>
      </w:pPr>
      <w:r>
        <w:t>Continue to train rangers and LSMU staff on the importance of TEK, incorporation of TEK into LSMU activities and recording methods for TEK</w:t>
      </w:r>
    </w:p>
    <w:p w:rsidR="009E6420" w:rsidRDefault="009E6420" w:rsidP="009E6420">
      <w:pPr>
        <w:pStyle w:val="ListParagraph"/>
        <w:numPr>
          <w:ilvl w:val="0"/>
          <w:numId w:val="1"/>
        </w:numPr>
      </w:pPr>
      <w:r>
        <w:t>Investigate incorporation of TEK data sets into LSMU land and sea management planning</w:t>
      </w:r>
    </w:p>
    <w:p w:rsidR="009E6420" w:rsidRDefault="009E6420" w:rsidP="009E6420">
      <w:pPr>
        <w:pStyle w:val="ListParagraph"/>
        <w:numPr>
          <w:ilvl w:val="0"/>
          <w:numId w:val="1"/>
        </w:numPr>
      </w:pPr>
      <w:r>
        <w:t xml:space="preserve">Review the consultancy arrangement for the TEK Project and redefine deliverables </w:t>
      </w:r>
    </w:p>
    <w:p w:rsidR="00777BA5" w:rsidRDefault="00777BA5" w:rsidP="009E6420">
      <w:r>
        <w:t xml:space="preserve">The following graphs represent how community feel </w:t>
      </w:r>
      <w:r w:rsidR="00A50C24">
        <w:t xml:space="preserve">TSRA </w:t>
      </w:r>
      <w:r>
        <w:t xml:space="preserve">should promote TEK within Communities to increase </w:t>
      </w:r>
      <w:r w:rsidR="00410EE2">
        <w:t>system use, what type of TEK communities would like preserved and partnerships that communities identified as key for the success of the TEK Project.</w:t>
      </w:r>
    </w:p>
    <w:p w:rsidR="00410EE2" w:rsidRDefault="00410EE2" w:rsidP="00410EE2">
      <w:r>
        <w:t xml:space="preserve">The report highlights both the challenges and opportunities for TSRA to progress development and uptake of the TEK System to June 2018.  TSRA has commenced implementing these recommendations and aims to have the majority of these completed with the next 12 months. </w:t>
      </w:r>
    </w:p>
    <w:p w:rsidR="00410EE2" w:rsidRDefault="00410EE2" w:rsidP="00410EE2">
      <w:r>
        <w:t xml:space="preserve">TSRA will work toward implementing the recommendations from this review in order to meet the TEK Project goals </w:t>
      </w:r>
      <w:proofErr w:type="gramStart"/>
      <w:r>
        <w:t>of</w:t>
      </w:r>
      <w:proofErr w:type="gramEnd"/>
      <w:r>
        <w:t>:</w:t>
      </w:r>
    </w:p>
    <w:p w:rsidR="00410EE2" w:rsidRDefault="00410EE2" w:rsidP="00410EE2">
      <w:pPr>
        <w:pStyle w:val="ListParagraph"/>
        <w:numPr>
          <w:ilvl w:val="0"/>
          <w:numId w:val="2"/>
        </w:numPr>
      </w:pPr>
      <w:r>
        <w:t xml:space="preserve">Protection of TEK for future generations, </w:t>
      </w:r>
    </w:p>
    <w:p w:rsidR="00410EE2" w:rsidRDefault="00410EE2" w:rsidP="00410EE2">
      <w:pPr>
        <w:pStyle w:val="ListParagraph"/>
        <w:numPr>
          <w:ilvl w:val="0"/>
          <w:numId w:val="2"/>
        </w:numPr>
      </w:pPr>
      <w:r>
        <w:t xml:space="preserve">LSMU on-ground and ranger activities being informed by </w:t>
      </w:r>
      <w:proofErr w:type="spellStart"/>
      <w:r>
        <w:t>Ailan</w:t>
      </w:r>
      <w:proofErr w:type="spellEnd"/>
      <w:r>
        <w:t xml:space="preserve"> </w:t>
      </w:r>
      <w:proofErr w:type="spellStart"/>
      <w:r>
        <w:t>Kastom</w:t>
      </w:r>
      <w:proofErr w:type="spellEnd"/>
      <w:r>
        <w:t xml:space="preserve">, </w:t>
      </w:r>
    </w:p>
    <w:p w:rsidR="00410EE2" w:rsidRPr="00DD3E3F" w:rsidRDefault="00410EE2" w:rsidP="00410EE2">
      <w:pPr>
        <w:pStyle w:val="ListParagraph"/>
        <w:numPr>
          <w:ilvl w:val="0"/>
          <w:numId w:val="2"/>
        </w:numPr>
        <w:rPr>
          <w:rFonts w:cs="Tahoma"/>
        </w:rPr>
      </w:pPr>
      <w:r>
        <w:t xml:space="preserve">TEK </w:t>
      </w:r>
      <w:r w:rsidRPr="00DD3E3F">
        <w:rPr>
          <w:rFonts w:cs="Tahoma"/>
        </w:rPr>
        <w:t>communities accessing the TEK System for their own cultural maintenance</w:t>
      </w:r>
      <w:r>
        <w:rPr>
          <w:rFonts w:cs="Tahoma"/>
        </w:rPr>
        <w:t>,</w:t>
      </w:r>
      <w:r w:rsidRPr="00DD3E3F">
        <w:rPr>
          <w:rFonts w:cs="Tahoma"/>
        </w:rPr>
        <w:t xml:space="preserve"> </w:t>
      </w:r>
    </w:p>
    <w:p w:rsidR="00410EE2" w:rsidRPr="00C87AD9" w:rsidRDefault="00410EE2" w:rsidP="00410EE2">
      <w:pPr>
        <w:pStyle w:val="ListParagraph"/>
        <w:numPr>
          <w:ilvl w:val="0"/>
          <w:numId w:val="2"/>
        </w:numPr>
      </w:pPr>
      <w:r>
        <w:rPr>
          <w:rFonts w:cs="Tahoma"/>
        </w:rPr>
        <w:t>S</w:t>
      </w:r>
      <w:r w:rsidRPr="00DD3E3F">
        <w:rPr>
          <w:rFonts w:cs="Tahoma"/>
        </w:rPr>
        <w:t xml:space="preserve">upport of sustainable community-based environmental management approaches. </w:t>
      </w:r>
    </w:p>
    <w:p w:rsidR="00C87AD9" w:rsidRDefault="00C87AD9" w:rsidP="00C87AD9">
      <w:r>
        <w:rPr>
          <w:noProof/>
          <w:lang w:eastAsia="en-AU"/>
        </w:rPr>
        <w:drawing>
          <wp:inline distT="0" distB="0" distL="0" distR="0">
            <wp:extent cx="3640455" cy="1691005"/>
            <wp:effectExtent l="0" t="0" r="0" b="4445"/>
            <wp:docPr id="6" name="Picture 6" descr="C:\Users\mcleanm\AppData\Local\Microsoft\Windows\Temporary Internet Files\Content.Word\New 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leanm\AppData\Local\Microsoft\Windows\Temporary Internet Files\Content.Word\New Picture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0455" cy="1691005"/>
                    </a:xfrm>
                    <a:prstGeom prst="rect">
                      <a:avLst/>
                    </a:prstGeom>
                    <a:noFill/>
                    <a:ln>
                      <a:noFill/>
                    </a:ln>
                  </pic:spPr>
                </pic:pic>
              </a:graphicData>
            </a:graphic>
          </wp:inline>
        </w:drawing>
      </w:r>
    </w:p>
    <w:p w:rsidR="00A50C24" w:rsidRDefault="00A50C24" w:rsidP="00A50C24">
      <w:pPr>
        <w:ind w:left="-709" w:right="-472"/>
      </w:pPr>
      <w:r>
        <w:rPr>
          <w:noProof/>
          <w:lang w:eastAsia="en-AU"/>
        </w:rPr>
        <w:lastRenderedPageBreak/>
        <w:drawing>
          <wp:inline distT="0" distB="0" distL="0" distR="0" wp14:anchorId="22FD135B" wp14:editId="61DC3FC8">
            <wp:extent cx="6711351" cy="3278038"/>
            <wp:effectExtent l="0" t="0" r="1333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0C24" w:rsidRDefault="00A50C24" w:rsidP="00A50C24">
      <w:pPr>
        <w:pStyle w:val="Caption"/>
      </w:pPr>
      <w:r>
        <w:t xml:space="preserve">Figure </w:t>
      </w:r>
      <w:proofErr w:type="gramStart"/>
      <w:r>
        <w:t>2</w:t>
      </w:r>
      <w:proofErr w:type="gramEnd"/>
      <w:r>
        <w:tab/>
      </w:r>
      <w:r>
        <w:tab/>
        <w:t>How to promote TEK within communities</w:t>
      </w:r>
    </w:p>
    <w:p w:rsidR="00A50C24" w:rsidRDefault="00A50C24" w:rsidP="00A50C24">
      <w:r>
        <w:rPr>
          <w:noProof/>
          <w:lang w:eastAsia="en-AU"/>
        </w:rPr>
        <w:drawing>
          <wp:inline distT="0" distB="0" distL="0" distR="0" wp14:anchorId="5987BE8F" wp14:editId="47A66B29">
            <wp:extent cx="5633049" cy="4201064"/>
            <wp:effectExtent l="0" t="0" r="2540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0C24" w:rsidRPr="00410EE2" w:rsidRDefault="00A50C24" w:rsidP="00A50C24">
      <w:pPr>
        <w:pStyle w:val="Caption"/>
        <w:rPr>
          <w:b w:val="0"/>
          <w:i/>
        </w:rPr>
      </w:pPr>
      <w:r w:rsidRPr="00410EE2">
        <w:t xml:space="preserve">Figure </w:t>
      </w:r>
      <w:proofErr w:type="gramStart"/>
      <w:r w:rsidRPr="00410EE2">
        <w:t>3</w:t>
      </w:r>
      <w:proofErr w:type="gramEnd"/>
      <w:r w:rsidRPr="00410EE2">
        <w:tab/>
      </w:r>
      <w:r w:rsidRPr="00410EE2">
        <w:rPr>
          <w:b w:val="0"/>
          <w:i/>
        </w:rPr>
        <w:tab/>
      </w:r>
      <w:r w:rsidRPr="00410EE2">
        <w:rPr>
          <w:rStyle w:val="IntenseEmphasis"/>
          <w:b/>
          <w:i w:val="0"/>
        </w:rPr>
        <w:t xml:space="preserve">Community priorities for recording and protecting TEK </w:t>
      </w:r>
    </w:p>
    <w:p w:rsidR="00A50C24" w:rsidRDefault="00A50C24" w:rsidP="00A50C24"/>
    <w:p w:rsidR="00A50C24" w:rsidRDefault="00A50C24" w:rsidP="00A50C24">
      <w:pPr>
        <w:pStyle w:val="Caption"/>
      </w:pPr>
      <w:r>
        <w:rPr>
          <w:noProof/>
          <w:lang w:eastAsia="en-AU"/>
        </w:rPr>
        <w:drawing>
          <wp:anchor distT="0" distB="0" distL="114300" distR="114300" simplePos="0" relativeHeight="251659264" behindDoc="0" locked="0" layoutInCell="1" allowOverlap="1" wp14:anchorId="1C643251" wp14:editId="4AEB06AC">
            <wp:simplePos x="0" y="0"/>
            <wp:positionH relativeFrom="column">
              <wp:align>left</wp:align>
            </wp:positionH>
            <wp:positionV relativeFrom="paragraph">
              <wp:align>top</wp:align>
            </wp:positionV>
            <wp:extent cx="4572000" cy="2493010"/>
            <wp:effectExtent l="0" t="0" r="19050" b="21590"/>
            <wp:wrapSquare wrapText="bothSides"/>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A50C24" w:rsidRDefault="00A50C24" w:rsidP="00A50C24"/>
    <w:p w:rsidR="00A50C24" w:rsidRDefault="00A50C24" w:rsidP="00A50C24"/>
    <w:p w:rsidR="00A50C24" w:rsidRDefault="00A50C24" w:rsidP="00A50C24"/>
    <w:p w:rsidR="00A50C24" w:rsidRDefault="00A50C24" w:rsidP="00A50C24"/>
    <w:p w:rsidR="00A50C24" w:rsidRDefault="00A50C24" w:rsidP="00A50C24"/>
    <w:p w:rsidR="00A50C24" w:rsidRDefault="00A50C24" w:rsidP="00A50C24"/>
    <w:p w:rsidR="00A50C24" w:rsidRDefault="00A50C24" w:rsidP="00A50C24"/>
    <w:p w:rsidR="00A50C24" w:rsidRDefault="0079514F" w:rsidP="0079514F">
      <w:pPr>
        <w:pStyle w:val="Caption"/>
      </w:pPr>
      <w:r>
        <w:t xml:space="preserve">Figure </w:t>
      </w:r>
      <w:proofErr w:type="gramStart"/>
      <w:r>
        <w:t>4</w:t>
      </w:r>
      <w:proofErr w:type="gramEnd"/>
      <w:r>
        <w:tab/>
      </w:r>
      <w:r>
        <w:tab/>
        <w:t>Potential partnerships for TEK</w:t>
      </w:r>
    </w:p>
    <w:sectPr w:rsidR="00A50C24" w:rsidSect="0079514F">
      <w:headerReference w:type="default" r:id="rId17"/>
      <w:footerReference w:type="default" r:id="rId18"/>
      <w:pgSz w:w="11906" w:h="16838"/>
      <w:pgMar w:top="1135" w:right="1440" w:bottom="1135" w:left="1440" w:header="0"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4F" w:rsidRDefault="0079514F" w:rsidP="0079514F">
      <w:pPr>
        <w:spacing w:after="0" w:line="240" w:lineRule="auto"/>
      </w:pPr>
      <w:r>
        <w:separator/>
      </w:r>
    </w:p>
  </w:endnote>
  <w:endnote w:type="continuationSeparator" w:id="0">
    <w:p w:rsidR="0079514F" w:rsidRDefault="0079514F" w:rsidP="0079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4F" w:rsidRDefault="0079514F" w:rsidP="0079514F">
    <w:pPr>
      <w:pStyle w:val="Footer"/>
      <w:ind w:left="-1418"/>
    </w:pPr>
    <w:r>
      <w:rPr>
        <w:noProof/>
        <w:lang w:eastAsia="en-AU"/>
      </w:rPr>
      <w:drawing>
        <wp:inline distT="0" distB="0" distL="0" distR="0" wp14:anchorId="29DF12DF" wp14:editId="6DE3D165">
          <wp:extent cx="7604750" cy="508959"/>
          <wp:effectExtent l="0" t="0" r="0" b="5715"/>
          <wp:docPr id="5" name="Picture 5" descr="cid:image001.jpg@01D1F93B.C686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5471E3-5630-4509-9F34-0445AFFB591F" descr="cid:image001.jpg@01D1F93B.C686E1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45069" cy="51165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4F" w:rsidRDefault="0079514F" w:rsidP="0079514F">
      <w:pPr>
        <w:spacing w:after="0" w:line="240" w:lineRule="auto"/>
      </w:pPr>
      <w:r>
        <w:separator/>
      </w:r>
    </w:p>
  </w:footnote>
  <w:footnote w:type="continuationSeparator" w:id="0">
    <w:p w:rsidR="0079514F" w:rsidRDefault="0079514F" w:rsidP="00795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4F" w:rsidRDefault="0079514F" w:rsidP="0079514F">
    <w:pPr>
      <w:pStyle w:val="Header"/>
      <w:ind w:left="-1418"/>
    </w:pPr>
    <w:r>
      <w:rPr>
        <w:noProof/>
        <w:lang w:eastAsia="en-AU"/>
      </w:rPr>
      <w:drawing>
        <wp:inline distT="0" distB="0" distL="0" distR="0" wp14:anchorId="75C6E1DC" wp14:editId="69D3B918">
          <wp:extent cx="7755147" cy="1948707"/>
          <wp:effectExtent l="0" t="0" r="0" b="0"/>
          <wp:docPr id="2" name="Picture 2" descr="cid:image002.jpg@01D1F93B.C686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B89B19-9908-4454-8E87-5BEA5D8E510B" descr="cid:image002.jpg@01D1F93B.C686E1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89520" cy="1957344"/>
                  </a:xfrm>
                  <a:prstGeom prst="rect">
                    <a:avLst/>
                  </a:prstGeom>
                  <a:noFill/>
                  <a:ln>
                    <a:noFill/>
                  </a:ln>
                </pic:spPr>
              </pic:pic>
            </a:graphicData>
          </a:graphic>
        </wp:inline>
      </w:drawing>
    </w:r>
  </w:p>
  <w:p w:rsidR="0079514F" w:rsidRDefault="00795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05B8D"/>
    <w:multiLevelType w:val="hybridMultilevel"/>
    <w:tmpl w:val="1958B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1F547EE"/>
    <w:multiLevelType w:val="hybridMultilevel"/>
    <w:tmpl w:val="D6A89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20"/>
    <w:rsid w:val="000866DF"/>
    <w:rsid w:val="00163237"/>
    <w:rsid w:val="001735CF"/>
    <w:rsid w:val="00193271"/>
    <w:rsid w:val="0033495F"/>
    <w:rsid w:val="00356BF2"/>
    <w:rsid w:val="00366EFD"/>
    <w:rsid w:val="003B2F81"/>
    <w:rsid w:val="00410EE2"/>
    <w:rsid w:val="00427F32"/>
    <w:rsid w:val="0048375A"/>
    <w:rsid w:val="00531C90"/>
    <w:rsid w:val="00650AD1"/>
    <w:rsid w:val="006C7D12"/>
    <w:rsid w:val="007373F6"/>
    <w:rsid w:val="00777BA5"/>
    <w:rsid w:val="0079514F"/>
    <w:rsid w:val="008E3B9E"/>
    <w:rsid w:val="009047EE"/>
    <w:rsid w:val="00916754"/>
    <w:rsid w:val="009554A8"/>
    <w:rsid w:val="009E6420"/>
    <w:rsid w:val="00A50C24"/>
    <w:rsid w:val="00C148D1"/>
    <w:rsid w:val="00C87AD9"/>
    <w:rsid w:val="00CC33B8"/>
    <w:rsid w:val="00D0284D"/>
    <w:rsid w:val="00D728D4"/>
    <w:rsid w:val="00DD3E3F"/>
    <w:rsid w:val="00E3550C"/>
    <w:rsid w:val="00E41EF5"/>
    <w:rsid w:val="00F35E01"/>
    <w:rsid w:val="00F93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6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0E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6420"/>
    <w:pPr>
      <w:ind w:left="720"/>
      <w:contextualSpacing/>
    </w:pPr>
  </w:style>
  <w:style w:type="character" w:customStyle="1" w:styleId="ListParagraphChar">
    <w:name w:val="List Paragraph Char"/>
    <w:basedOn w:val="DefaultParagraphFont"/>
    <w:link w:val="ListParagraph"/>
    <w:uiPriority w:val="34"/>
    <w:rsid w:val="009E6420"/>
  </w:style>
  <w:style w:type="paragraph" w:styleId="BalloonText">
    <w:name w:val="Balloon Text"/>
    <w:basedOn w:val="Normal"/>
    <w:link w:val="BalloonTextChar"/>
    <w:uiPriority w:val="99"/>
    <w:semiHidden/>
    <w:unhideWhenUsed/>
    <w:rsid w:val="009E6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420"/>
    <w:rPr>
      <w:rFonts w:ascii="Tahoma" w:hAnsi="Tahoma" w:cs="Tahoma"/>
      <w:sz w:val="16"/>
      <w:szCs w:val="16"/>
    </w:rPr>
  </w:style>
  <w:style w:type="character" w:customStyle="1" w:styleId="Heading1Char">
    <w:name w:val="Heading 1 Char"/>
    <w:basedOn w:val="DefaultParagraphFont"/>
    <w:link w:val="Heading1"/>
    <w:uiPriority w:val="9"/>
    <w:rsid w:val="009E642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10E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0EE2"/>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10EE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410EE2"/>
    <w:pPr>
      <w:spacing w:line="240" w:lineRule="auto"/>
    </w:pPr>
    <w:rPr>
      <w:b/>
      <w:bCs/>
      <w:color w:val="4F81BD" w:themeColor="accent1"/>
      <w:sz w:val="18"/>
      <w:szCs w:val="18"/>
    </w:rPr>
  </w:style>
  <w:style w:type="character" w:styleId="IntenseEmphasis">
    <w:name w:val="Intense Emphasis"/>
    <w:basedOn w:val="DefaultParagraphFont"/>
    <w:uiPriority w:val="21"/>
    <w:qFormat/>
    <w:rsid w:val="00410EE2"/>
    <w:rPr>
      <w:b/>
      <w:bCs/>
      <w:i/>
      <w:iCs/>
      <w:color w:val="4F81BD" w:themeColor="accent1"/>
    </w:rPr>
  </w:style>
  <w:style w:type="paragraph" w:styleId="Header">
    <w:name w:val="header"/>
    <w:basedOn w:val="Normal"/>
    <w:link w:val="HeaderChar"/>
    <w:uiPriority w:val="99"/>
    <w:unhideWhenUsed/>
    <w:rsid w:val="00795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14F"/>
  </w:style>
  <w:style w:type="paragraph" w:styleId="Footer">
    <w:name w:val="footer"/>
    <w:basedOn w:val="Normal"/>
    <w:link w:val="FooterChar"/>
    <w:uiPriority w:val="99"/>
    <w:unhideWhenUsed/>
    <w:rsid w:val="00795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6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0E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6420"/>
    <w:pPr>
      <w:ind w:left="720"/>
      <w:contextualSpacing/>
    </w:pPr>
  </w:style>
  <w:style w:type="character" w:customStyle="1" w:styleId="ListParagraphChar">
    <w:name w:val="List Paragraph Char"/>
    <w:basedOn w:val="DefaultParagraphFont"/>
    <w:link w:val="ListParagraph"/>
    <w:uiPriority w:val="34"/>
    <w:rsid w:val="009E6420"/>
  </w:style>
  <w:style w:type="paragraph" w:styleId="BalloonText">
    <w:name w:val="Balloon Text"/>
    <w:basedOn w:val="Normal"/>
    <w:link w:val="BalloonTextChar"/>
    <w:uiPriority w:val="99"/>
    <w:semiHidden/>
    <w:unhideWhenUsed/>
    <w:rsid w:val="009E6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420"/>
    <w:rPr>
      <w:rFonts w:ascii="Tahoma" w:hAnsi="Tahoma" w:cs="Tahoma"/>
      <w:sz w:val="16"/>
      <w:szCs w:val="16"/>
    </w:rPr>
  </w:style>
  <w:style w:type="character" w:customStyle="1" w:styleId="Heading1Char">
    <w:name w:val="Heading 1 Char"/>
    <w:basedOn w:val="DefaultParagraphFont"/>
    <w:link w:val="Heading1"/>
    <w:uiPriority w:val="9"/>
    <w:rsid w:val="009E642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10E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0EE2"/>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10EE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410EE2"/>
    <w:pPr>
      <w:spacing w:line="240" w:lineRule="auto"/>
    </w:pPr>
    <w:rPr>
      <w:b/>
      <w:bCs/>
      <w:color w:val="4F81BD" w:themeColor="accent1"/>
      <w:sz w:val="18"/>
      <w:szCs w:val="18"/>
    </w:rPr>
  </w:style>
  <w:style w:type="character" w:styleId="IntenseEmphasis">
    <w:name w:val="Intense Emphasis"/>
    <w:basedOn w:val="DefaultParagraphFont"/>
    <w:uiPriority w:val="21"/>
    <w:qFormat/>
    <w:rsid w:val="00410EE2"/>
    <w:rPr>
      <w:b/>
      <w:bCs/>
      <w:i/>
      <w:iCs/>
      <w:color w:val="4F81BD" w:themeColor="accent1"/>
    </w:rPr>
  </w:style>
  <w:style w:type="paragraph" w:styleId="Header">
    <w:name w:val="header"/>
    <w:basedOn w:val="Normal"/>
    <w:link w:val="HeaderChar"/>
    <w:uiPriority w:val="99"/>
    <w:unhideWhenUsed/>
    <w:rsid w:val="00795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14F"/>
  </w:style>
  <w:style w:type="paragraph" w:styleId="Footer">
    <w:name w:val="footer"/>
    <w:basedOn w:val="Normal"/>
    <w:link w:val="FooterChar"/>
    <w:uiPriority w:val="99"/>
    <w:unhideWhenUsed/>
    <w:rsid w:val="00795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cid:image001.jpg@01D1F959.C0CD4A6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image" Target="cid:image001.jpg@01D1F93B.C686E150"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cid:image002.jpg@01D1F93B.C686E150" TargetMode="External"/><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norrisb\AppData\Local\Microsoft\Windows\Temporary%20Internet%20Files\Content.Outlook\XVZ1TZRP\TEK%20Review%20Data%20Summary.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orrisb\AppData\Local\Microsoft\Windows\Temporary%20Internet%20Files\Content.Outlook\XVZ1TZRP\TEK%20Review%20Data%20Summary.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orrisb\AppData\Local\Microsoft\Windows\Temporary%20Internet%20Files\Content.Outlook\XVZ1TZRP\TEK%20Review%20Data%20Summary.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AU"/>
              <a:t>How to Promote TEK</a:t>
            </a:r>
          </a:p>
        </c:rich>
      </c:tx>
      <c:layout/>
      <c:overlay val="0"/>
    </c:title>
    <c:autoTitleDeleted val="0"/>
    <c:plotArea>
      <c:layout>
        <c:manualLayout>
          <c:layoutTarget val="inner"/>
          <c:xMode val="edge"/>
          <c:yMode val="edge"/>
          <c:x val="0.4745998872897369"/>
          <c:y val="0.14858421015957077"/>
          <c:w val="0.48453479100620955"/>
          <c:h val="0.76273737021810328"/>
        </c:manualLayout>
      </c:layout>
      <c:barChart>
        <c:barDir val="bar"/>
        <c:grouping val="clustered"/>
        <c:varyColors val="0"/>
        <c:ser>
          <c:idx val="0"/>
          <c:order val="0"/>
          <c:invertIfNegative val="0"/>
          <c:cat>
            <c:strRef>
              <c:f>'Access &amp; Promotion'!$A$35:$A$49</c:f>
              <c:strCache>
                <c:ptCount val="15"/>
                <c:pt idx="0">
                  <c:v>Evening event to show community what is in TEK System</c:v>
                </c:pt>
                <c:pt idx="1">
                  <c:v>Ranger TEK Updates (at community meetings)</c:v>
                </c:pt>
                <c:pt idx="2">
                  <c:v>Additional Training and Recording workshops</c:v>
                </c:pt>
                <c:pt idx="3">
                  <c:v>Provide food at training events</c:v>
                </c:pt>
                <c:pt idx="4">
                  <c:v>Brochures or magnets on how to use TEK</c:v>
                </c:pt>
                <c:pt idx="5">
                  <c:v>Posters</c:v>
                </c:pt>
                <c:pt idx="6">
                  <c:v>Tracking and promoting success of TEK</c:v>
                </c:pt>
                <c:pt idx="7">
                  <c:v>Facebook page with tips on TEK and updates</c:v>
                </c:pt>
                <c:pt idx="8">
                  <c:v>Involve RNTBCs more</c:v>
                </c:pt>
                <c:pt idx="9">
                  <c:v>Rangers to hold mini training sessions on TEK </c:v>
                </c:pt>
                <c:pt idx="10">
                  <c:v>Promotional Merchandise to give away for entries</c:v>
                </c:pt>
                <c:pt idx="11">
                  <c:v>Link elders with younger people to record stories</c:v>
                </c:pt>
                <c:pt idx="12">
                  <c:v>Kriol/ Language speaker when training and recording TEK</c:v>
                </c:pt>
                <c:pt idx="13">
                  <c:v>Rangers working in School undertaking TEK</c:v>
                </c:pt>
                <c:pt idx="14">
                  <c:v>Promote the system to TOs living elsewhere</c:v>
                </c:pt>
              </c:strCache>
            </c:strRef>
          </c:cat>
          <c:val>
            <c:numRef>
              <c:f>'Access &amp; Promotion'!$B$35:$B$49</c:f>
              <c:numCache>
                <c:formatCode>0.0%</c:formatCode>
                <c:ptCount val="15"/>
                <c:pt idx="0">
                  <c:v>0.15189873417721519</c:v>
                </c:pt>
                <c:pt idx="1">
                  <c:v>0.11392405063291139</c:v>
                </c:pt>
                <c:pt idx="2">
                  <c:v>0.13924050632911392</c:v>
                </c:pt>
                <c:pt idx="3">
                  <c:v>7.5949367088607597E-2</c:v>
                </c:pt>
                <c:pt idx="4">
                  <c:v>8.2278481012658222E-2</c:v>
                </c:pt>
                <c:pt idx="5">
                  <c:v>6.3291139240506333E-2</c:v>
                </c:pt>
                <c:pt idx="6">
                  <c:v>3.1645569620253167E-2</c:v>
                </c:pt>
                <c:pt idx="7">
                  <c:v>1.8987341772151899E-2</c:v>
                </c:pt>
                <c:pt idx="8">
                  <c:v>6.3291139240506333E-2</c:v>
                </c:pt>
                <c:pt idx="9">
                  <c:v>0.10126582278481013</c:v>
                </c:pt>
                <c:pt idx="10">
                  <c:v>3.7974683544303799E-2</c:v>
                </c:pt>
                <c:pt idx="11">
                  <c:v>2.5316455696202531E-2</c:v>
                </c:pt>
                <c:pt idx="12">
                  <c:v>1.8987341772151899E-2</c:v>
                </c:pt>
                <c:pt idx="13">
                  <c:v>5.6962025316455694E-2</c:v>
                </c:pt>
                <c:pt idx="14">
                  <c:v>1.8987341772151899E-2</c:v>
                </c:pt>
              </c:numCache>
            </c:numRef>
          </c:val>
        </c:ser>
        <c:dLbls>
          <c:showLegendKey val="0"/>
          <c:showVal val="0"/>
          <c:showCatName val="0"/>
          <c:showSerName val="0"/>
          <c:showPercent val="0"/>
          <c:showBubbleSize val="0"/>
        </c:dLbls>
        <c:gapWidth val="150"/>
        <c:axId val="26773376"/>
        <c:axId val="26774912"/>
      </c:barChart>
      <c:catAx>
        <c:axId val="26773376"/>
        <c:scaling>
          <c:orientation val="minMax"/>
        </c:scaling>
        <c:delete val="0"/>
        <c:axPos val="l"/>
        <c:majorTickMark val="none"/>
        <c:minorTickMark val="none"/>
        <c:tickLblPos val="nextTo"/>
        <c:crossAx val="26774912"/>
        <c:crosses val="autoZero"/>
        <c:auto val="1"/>
        <c:lblAlgn val="ctr"/>
        <c:lblOffset val="100"/>
        <c:noMultiLvlLbl val="0"/>
      </c:catAx>
      <c:valAx>
        <c:axId val="26774912"/>
        <c:scaling>
          <c:orientation val="minMax"/>
        </c:scaling>
        <c:delete val="0"/>
        <c:axPos val="b"/>
        <c:majorGridlines/>
        <c:numFmt formatCode="0.0%" sourceLinked="1"/>
        <c:majorTickMark val="none"/>
        <c:minorTickMark val="none"/>
        <c:tickLblPos val="nextTo"/>
        <c:crossAx val="267733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AU"/>
              <a:t>Community priorites for preserving TEK</a:t>
            </a:r>
          </a:p>
        </c:rich>
      </c:tx>
      <c:layout/>
      <c:overlay val="0"/>
    </c:title>
    <c:autoTitleDeleted val="0"/>
    <c:plotArea>
      <c:layout/>
      <c:barChart>
        <c:barDir val="bar"/>
        <c:grouping val="clustered"/>
        <c:varyColors val="0"/>
        <c:ser>
          <c:idx val="0"/>
          <c:order val="0"/>
          <c:invertIfNegative val="0"/>
          <c:cat>
            <c:strRef>
              <c:f>Recording!$A$2:$A$17</c:f>
              <c:strCache>
                <c:ptCount val="16"/>
                <c:pt idx="0">
                  <c:v>Everything</c:v>
                </c:pt>
                <c:pt idx="1">
                  <c:v>Music and Songs</c:v>
                </c:pt>
                <c:pt idx="2">
                  <c:v>Dance</c:v>
                </c:pt>
                <c:pt idx="3">
                  <c:v>Medicinal Plants and their uses</c:v>
                </c:pt>
                <c:pt idx="4">
                  <c:v>Traditional healing techniques</c:v>
                </c:pt>
                <c:pt idx="5">
                  <c:v>Language</c:v>
                </c:pt>
                <c:pt idx="6">
                  <c:v>Sacred Sites</c:v>
                </c:pt>
                <c:pt idx="7">
                  <c:v>Traditional foods</c:v>
                </c:pt>
                <c:pt idx="8">
                  <c:v>Plants and Animals</c:v>
                </c:pt>
                <c:pt idx="9">
                  <c:v>Elders Stories/ stories</c:v>
                </c:pt>
                <c:pt idx="10">
                  <c:v>Cultural protocols/ Customary Law</c:v>
                </c:pt>
                <c:pt idx="11">
                  <c:v>Oral Histories</c:v>
                </c:pt>
                <c:pt idx="12">
                  <c:v>Clan Information/ family trees/ Totems</c:v>
                </c:pt>
                <c:pt idx="13">
                  <c:v>Womens knowledge/ stories</c:v>
                </c:pt>
                <c:pt idx="14">
                  <c:v>Weather - Seasons, tides, winds and migrations</c:v>
                </c:pt>
                <c:pt idx="15">
                  <c:v>Land &amp; Gardening</c:v>
                </c:pt>
              </c:strCache>
            </c:strRef>
          </c:cat>
          <c:val>
            <c:numRef>
              <c:f>Recording!$B$2:$B$17</c:f>
              <c:numCache>
                <c:formatCode>0.0%</c:formatCode>
                <c:ptCount val="16"/>
                <c:pt idx="0">
                  <c:v>0.12244897959183673</c:v>
                </c:pt>
                <c:pt idx="1">
                  <c:v>7.1428571428571425E-2</c:v>
                </c:pt>
                <c:pt idx="2">
                  <c:v>5.1020408163265307E-2</c:v>
                </c:pt>
                <c:pt idx="3">
                  <c:v>6.1224489795918366E-2</c:v>
                </c:pt>
                <c:pt idx="4">
                  <c:v>5.1020408163265307E-2</c:v>
                </c:pt>
                <c:pt idx="5">
                  <c:v>0.15306122448979592</c:v>
                </c:pt>
                <c:pt idx="6">
                  <c:v>4.0816326530612242E-2</c:v>
                </c:pt>
                <c:pt idx="7">
                  <c:v>2.0408163265306121E-2</c:v>
                </c:pt>
                <c:pt idx="8">
                  <c:v>3.0612244897959183E-2</c:v>
                </c:pt>
                <c:pt idx="9">
                  <c:v>9.1836734693877556E-2</c:v>
                </c:pt>
                <c:pt idx="10">
                  <c:v>5.0999999999999997E-2</c:v>
                </c:pt>
                <c:pt idx="11">
                  <c:v>7.1428571428571425E-2</c:v>
                </c:pt>
                <c:pt idx="12">
                  <c:v>5.1020408163265307E-2</c:v>
                </c:pt>
                <c:pt idx="13">
                  <c:v>4.0816326530612242E-2</c:v>
                </c:pt>
                <c:pt idx="14">
                  <c:v>4.0816326530612242E-2</c:v>
                </c:pt>
                <c:pt idx="15">
                  <c:v>5.0999999999999997E-2</c:v>
                </c:pt>
              </c:numCache>
            </c:numRef>
          </c:val>
        </c:ser>
        <c:dLbls>
          <c:showLegendKey val="0"/>
          <c:showVal val="1"/>
          <c:showCatName val="0"/>
          <c:showSerName val="0"/>
          <c:showPercent val="0"/>
          <c:showBubbleSize val="0"/>
        </c:dLbls>
        <c:gapWidth val="150"/>
        <c:overlap val="-25"/>
        <c:axId val="26943488"/>
        <c:axId val="26945024"/>
      </c:barChart>
      <c:catAx>
        <c:axId val="26943488"/>
        <c:scaling>
          <c:orientation val="minMax"/>
        </c:scaling>
        <c:delete val="0"/>
        <c:axPos val="l"/>
        <c:majorTickMark val="none"/>
        <c:minorTickMark val="none"/>
        <c:tickLblPos val="nextTo"/>
        <c:crossAx val="26945024"/>
        <c:crosses val="autoZero"/>
        <c:auto val="1"/>
        <c:lblAlgn val="ctr"/>
        <c:lblOffset val="100"/>
        <c:noMultiLvlLbl val="0"/>
      </c:catAx>
      <c:valAx>
        <c:axId val="26945024"/>
        <c:scaling>
          <c:orientation val="minMax"/>
        </c:scaling>
        <c:delete val="1"/>
        <c:axPos val="b"/>
        <c:numFmt formatCode="0.0%" sourceLinked="1"/>
        <c:majorTickMark val="none"/>
        <c:minorTickMark val="none"/>
        <c:tickLblPos val="nextTo"/>
        <c:crossAx val="269434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en-AU" sz="1400"/>
              <a:t>Potential partnerships for TEK</a:t>
            </a:r>
          </a:p>
        </c:rich>
      </c:tx>
      <c:layout/>
      <c:overlay val="0"/>
    </c:title>
    <c:autoTitleDeleted val="0"/>
    <c:plotArea>
      <c:layout/>
      <c:barChart>
        <c:barDir val="col"/>
        <c:grouping val="clustered"/>
        <c:varyColors val="0"/>
        <c:ser>
          <c:idx val="0"/>
          <c:order val="0"/>
          <c:invertIfNegative val="0"/>
          <c:cat>
            <c:strRef>
              <c:f>'Access &amp; Promotion'!$O$3:$O$9</c:f>
              <c:strCache>
                <c:ptCount val="7"/>
                <c:pt idx="0">
                  <c:v>School</c:v>
                </c:pt>
                <c:pt idx="1">
                  <c:v>My Pathways</c:v>
                </c:pt>
                <c:pt idx="2">
                  <c:v>RNTBC's</c:v>
                </c:pt>
                <c:pt idx="3">
                  <c:v>TO's living off country</c:v>
                </c:pt>
                <c:pt idx="4">
                  <c:v>Art Centres/ Indigenous Knowledge Centres</c:v>
                </c:pt>
                <c:pt idx="5">
                  <c:v>Women </c:v>
                </c:pt>
                <c:pt idx="6">
                  <c:v>Community   </c:v>
                </c:pt>
              </c:strCache>
            </c:strRef>
          </c:cat>
          <c:val>
            <c:numRef>
              <c:f>'Access &amp; Promotion'!$P$3:$P$9</c:f>
              <c:numCache>
                <c:formatCode>0.0%</c:formatCode>
                <c:ptCount val="7"/>
                <c:pt idx="0">
                  <c:v>0.41025641025641024</c:v>
                </c:pt>
                <c:pt idx="1">
                  <c:v>0.10256410256410256</c:v>
                </c:pt>
                <c:pt idx="2">
                  <c:v>0.17948717948717949</c:v>
                </c:pt>
                <c:pt idx="3">
                  <c:v>5.128205128205128E-2</c:v>
                </c:pt>
                <c:pt idx="4">
                  <c:v>0.10256410256410256</c:v>
                </c:pt>
                <c:pt idx="5">
                  <c:v>5.128205128205128E-2</c:v>
                </c:pt>
                <c:pt idx="6">
                  <c:v>0.10256410256410256</c:v>
                </c:pt>
              </c:numCache>
            </c:numRef>
          </c:val>
        </c:ser>
        <c:dLbls>
          <c:showLegendKey val="0"/>
          <c:showVal val="0"/>
          <c:showCatName val="0"/>
          <c:showSerName val="0"/>
          <c:showPercent val="0"/>
          <c:showBubbleSize val="0"/>
        </c:dLbls>
        <c:gapWidth val="150"/>
        <c:axId val="26973312"/>
        <c:axId val="26974848"/>
      </c:barChart>
      <c:catAx>
        <c:axId val="26973312"/>
        <c:scaling>
          <c:orientation val="minMax"/>
        </c:scaling>
        <c:delete val="0"/>
        <c:axPos val="b"/>
        <c:majorTickMark val="none"/>
        <c:minorTickMark val="none"/>
        <c:tickLblPos val="nextTo"/>
        <c:crossAx val="26974848"/>
        <c:crosses val="autoZero"/>
        <c:auto val="1"/>
        <c:lblAlgn val="ctr"/>
        <c:lblOffset val="100"/>
        <c:noMultiLvlLbl val="0"/>
      </c:catAx>
      <c:valAx>
        <c:axId val="26974848"/>
        <c:scaling>
          <c:orientation val="minMax"/>
        </c:scaling>
        <c:delete val="0"/>
        <c:axPos val="l"/>
        <c:majorGridlines/>
        <c:numFmt formatCode="0.0%" sourceLinked="1"/>
        <c:majorTickMark val="none"/>
        <c:minorTickMark val="none"/>
        <c:tickLblPos val="nextTo"/>
        <c:crossAx val="269733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40B0-AEB3-489D-B9C4-E040F74F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TSRA</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 Melinda</dc:creator>
  <cp:lastModifiedBy>McLEAN Melinda</cp:lastModifiedBy>
  <cp:revision>3</cp:revision>
  <dcterms:created xsi:type="dcterms:W3CDTF">2016-08-18T03:46:00Z</dcterms:created>
  <dcterms:modified xsi:type="dcterms:W3CDTF">2016-08-18T04:09:00Z</dcterms:modified>
</cp:coreProperties>
</file>