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A6" w:rsidRDefault="002650A6"/>
    <w:p w:rsidR="002650A6" w:rsidRDefault="002650A6" w:rsidP="00B9011E">
      <w:pPr>
        <w:pStyle w:val="Heading1"/>
        <w:tabs>
          <w:tab w:val="left" w:pos="1140"/>
          <w:tab w:val="center" w:pos="4153"/>
        </w:tabs>
      </w:pPr>
      <w:r>
        <w:tab/>
      </w:r>
    </w:p>
    <w:p w:rsidR="002650A6" w:rsidRDefault="002650A6" w:rsidP="00B9011E">
      <w:pPr>
        <w:pStyle w:val="Heading1"/>
        <w:tabs>
          <w:tab w:val="left" w:pos="1140"/>
          <w:tab w:val="center" w:pos="4153"/>
        </w:tabs>
      </w:pPr>
    </w:p>
    <w:p w:rsidR="002650A6" w:rsidRDefault="001945B4" w:rsidP="00B9011E">
      <w:pPr>
        <w:pStyle w:val="Heading1"/>
        <w:tabs>
          <w:tab w:val="left" w:pos="1140"/>
          <w:tab w:val="center" w:pos="4153"/>
        </w:tabs>
        <w:jc w:val="center"/>
      </w:pPr>
      <w:r>
        <w:rPr>
          <w:noProof/>
        </w:rPr>
        <w:drawing>
          <wp:inline distT="0" distB="0" distL="0" distR="0">
            <wp:extent cx="11811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533525"/>
                    </a:xfrm>
                    <a:prstGeom prst="rect">
                      <a:avLst/>
                    </a:prstGeom>
                    <a:noFill/>
                    <a:ln>
                      <a:noFill/>
                    </a:ln>
                  </pic:spPr>
                </pic:pic>
              </a:graphicData>
            </a:graphic>
          </wp:inline>
        </w:drawing>
      </w:r>
    </w:p>
    <w:p w:rsidR="002650A6" w:rsidRDefault="002650A6" w:rsidP="00B9011E"/>
    <w:p w:rsidR="002650A6" w:rsidRPr="00B9011E" w:rsidRDefault="002650A6" w:rsidP="00B9011E"/>
    <w:p w:rsidR="002650A6" w:rsidRDefault="002650A6" w:rsidP="00B9011E">
      <w:pPr>
        <w:pStyle w:val="Heading1"/>
        <w:tabs>
          <w:tab w:val="left" w:pos="1140"/>
          <w:tab w:val="center" w:pos="4153"/>
        </w:tabs>
      </w:pPr>
      <w:r>
        <w:tab/>
      </w:r>
    </w:p>
    <w:p w:rsidR="002650A6" w:rsidRDefault="002650A6" w:rsidP="00B9011E">
      <w:pPr>
        <w:pStyle w:val="Heading1"/>
        <w:tabs>
          <w:tab w:val="left" w:pos="1140"/>
          <w:tab w:val="center" w:pos="4153"/>
        </w:tabs>
      </w:pPr>
    </w:p>
    <w:p w:rsidR="001C418C" w:rsidRDefault="002650A6" w:rsidP="00B3364A">
      <w:pPr>
        <w:pStyle w:val="Heading1"/>
        <w:tabs>
          <w:tab w:val="left" w:pos="1140"/>
          <w:tab w:val="center" w:pos="4153"/>
        </w:tabs>
        <w:jc w:val="center"/>
        <w:rPr>
          <w:sz w:val="52"/>
          <w:szCs w:val="60"/>
        </w:rPr>
      </w:pPr>
      <w:r w:rsidRPr="0006734D">
        <w:rPr>
          <w:sz w:val="52"/>
          <w:szCs w:val="60"/>
        </w:rPr>
        <w:t>T</w:t>
      </w:r>
      <w:r w:rsidR="001C418C" w:rsidRPr="0006734D">
        <w:rPr>
          <w:sz w:val="52"/>
          <w:szCs w:val="60"/>
        </w:rPr>
        <w:t>orres Strait Regional Authority</w:t>
      </w:r>
    </w:p>
    <w:p w:rsidR="0006734D" w:rsidRPr="0006734D" w:rsidRDefault="0006734D" w:rsidP="0006734D"/>
    <w:p w:rsidR="002650A6" w:rsidRPr="001C418C" w:rsidRDefault="002650A6" w:rsidP="00B3364A">
      <w:pPr>
        <w:pStyle w:val="Heading1"/>
        <w:tabs>
          <w:tab w:val="left" w:pos="1140"/>
          <w:tab w:val="center" w:pos="4153"/>
        </w:tabs>
        <w:jc w:val="center"/>
        <w:rPr>
          <w:sz w:val="60"/>
          <w:szCs w:val="60"/>
        </w:rPr>
      </w:pPr>
      <w:r w:rsidRPr="001C418C">
        <w:rPr>
          <w:sz w:val="60"/>
          <w:szCs w:val="60"/>
        </w:rPr>
        <w:t>Healthy Communities Program</w:t>
      </w:r>
      <w:r w:rsidR="00BE7E9F" w:rsidRPr="001C418C">
        <w:rPr>
          <w:sz w:val="60"/>
          <w:szCs w:val="60"/>
        </w:rPr>
        <w:t>me</w:t>
      </w:r>
    </w:p>
    <w:p w:rsidR="002650A6" w:rsidRPr="00A25D7F" w:rsidRDefault="002650A6" w:rsidP="00B3364A">
      <w:pPr>
        <w:jc w:val="center"/>
        <w:rPr>
          <w:sz w:val="40"/>
        </w:rPr>
      </w:pPr>
    </w:p>
    <w:p w:rsidR="002650A6" w:rsidRPr="00FC23C2" w:rsidRDefault="002650A6" w:rsidP="00FC23C2">
      <w:pPr>
        <w:pStyle w:val="Heading1"/>
        <w:jc w:val="center"/>
        <w:rPr>
          <w:sz w:val="40"/>
          <w:szCs w:val="40"/>
        </w:rPr>
      </w:pPr>
      <w:r w:rsidRPr="000C1402">
        <w:rPr>
          <w:sz w:val="40"/>
          <w:szCs w:val="40"/>
        </w:rPr>
        <w:t>Grant Guidelines</w:t>
      </w:r>
    </w:p>
    <w:p w:rsidR="002650A6" w:rsidRPr="000C1402" w:rsidRDefault="002650A6">
      <w:r w:rsidRPr="000C1402">
        <w:br w:type="page"/>
      </w:r>
    </w:p>
    <w:p w:rsidR="002650A6" w:rsidRPr="001945B4" w:rsidRDefault="002650A6" w:rsidP="00C72B8D">
      <w:pPr>
        <w:pStyle w:val="Heading2"/>
        <w:rPr>
          <w:sz w:val="26"/>
          <w:szCs w:val="26"/>
        </w:rPr>
      </w:pPr>
      <w:r w:rsidRPr="001945B4">
        <w:rPr>
          <w:sz w:val="26"/>
          <w:szCs w:val="26"/>
        </w:rPr>
        <w:lastRenderedPageBreak/>
        <w:t xml:space="preserve">Part </w:t>
      </w:r>
      <w:proofErr w:type="gramStart"/>
      <w:r w:rsidRPr="001945B4">
        <w:rPr>
          <w:sz w:val="26"/>
          <w:szCs w:val="26"/>
        </w:rPr>
        <w:t>A</w:t>
      </w:r>
      <w:proofErr w:type="gramEnd"/>
      <w:r w:rsidRPr="001945B4">
        <w:rPr>
          <w:sz w:val="26"/>
          <w:szCs w:val="26"/>
        </w:rPr>
        <w:t xml:space="preserve"> – Program</w:t>
      </w:r>
      <w:r w:rsidR="00BE7E9F">
        <w:rPr>
          <w:sz w:val="26"/>
          <w:szCs w:val="26"/>
        </w:rPr>
        <w:t>me</w:t>
      </w:r>
      <w:r w:rsidRPr="001945B4">
        <w:rPr>
          <w:sz w:val="26"/>
          <w:szCs w:val="26"/>
        </w:rPr>
        <w:t xml:space="preserve"> Information </w:t>
      </w:r>
    </w:p>
    <w:p w:rsidR="002650A6" w:rsidRPr="001945B4" w:rsidRDefault="002650A6" w:rsidP="00C72B8D">
      <w:pPr>
        <w:pStyle w:val="Heading3"/>
        <w:rPr>
          <w:sz w:val="24"/>
          <w:szCs w:val="24"/>
        </w:rPr>
      </w:pPr>
      <w:r w:rsidRPr="001945B4">
        <w:rPr>
          <w:sz w:val="24"/>
          <w:szCs w:val="24"/>
        </w:rPr>
        <w:t>Background</w:t>
      </w:r>
    </w:p>
    <w:p w:rsidR="002650A6" w:rsidRPr="001945B4" w:rsidRDefault="002650A6" w:rsidP="00B9011E">
      <w:pPr>
        <w:jc w:val="both"/>
        <w:rPr>
          <w:rFonts w:ascii="Arial" w:hAnsi="Arial" w:cs="Arial"/>
          <w:sz w:val="22"/>
          <w:szCs w:val="22"/>
        </w:rPr>
      </w:pPr>
      <w:r w:rsidRPr="001945B4">
        <w:rPr>
          <w:rFonts w:ascii="Arial" w:hAnsi="Arial" w:cs="Arial"/>
          <w:sz w:val="22"/>
          <w:szCs w:val="22"/>
        </w:rPr>
        <w:t xml:space="preserve">The </w:t>
      </w:r>
      <w:r w:rsidR="001C418C">
        <w:rPr>
          <w:rFonts w:ascii="Arial" w:hAnsi="Arial" w:cs="Arial"/>
          <w:sz w:val="22"/>
          <w:szCs w:val="22"/>
        </w:rPr>
        <w:t>Torres Strait Regional Authority’s (</w:t>
      </w:r>
      <w:proofErr w:type="spellStart"/>
      <w:r w:rsidR="001C418C">
        <w:rPr>
          <w:rFonts w:ascii="Arial" w:hAnsi="Arial" w:cs="Arial"/>
          <w:sz w:val="22"/>
          <w:szCs w:val="22"/>
        </w:rPr>
        <w:t>TSRA</w:t>
      </w:r>
      <w:proofErr w:type="spellEnd"/>
      <w:r w:rsidR="001C418C">
        <w:rPr>
          <w:rFonts w:ascii="Arial" w:hAnsi="Arial" w:cs="Arial"/>
          <w:sz w:val="22"/>
          <w:szCs w:val="22"/>
        </w:rPr>
        <w:t xml:space="preserve">) </w:t>
      </w:r>
      <w:r w:rsidRPr="001945B4">
        <w:rPr>
          <w:rFonts w:ascii="Arial" w:hAnsi="Arial" w:cs="Arial"/>
          <w:sz w:val="22"/>
          <w:szCs w:val="22"/>
        </w:rPr>
        <w:t>Healthy Communities Program</w:t>
      </w:r>
      <w:r w:rsidR="00BE7E9F">
        <w:rPr>
          <w:rFonts w:ascii="Arial" w:hAnsi="Arial" w:cs="Arial"/>
          <w:sz w:val="22"/>
          <w:szCs w:val="22"/>
        </w:rPr>
        <w:t>me</w:t>
      </w:r>
      <w:r w:rsidRPr="001945B4">
        <w:rPr>
          <w:rFonts w:ascii="Arial" w:hAnsi="Arial" w:cs="Arial"/>
          <w:sz w:val="22"/>
          <w:szCs w:val="22"/>
        </w:rPr>
        <w:t xml:space="preserve"> recognises the importance of meeting basic living standards as well as having healthy people in our communities.  It is difficult to embark on development initiatives when people are in poor health or living in poor conditions.  The poor health of our people and prevalence of chronic diseases in the region requires concerted action.</w:t>
      </w:r>
    </w:p>
    <w:p w:rsidR="002650A6" w:rsidRPr="001945B4" w:rsidRDefault="002650A6" w:rsidP="00B9011E">
      <w:pPr>
        <w:jc w:val="both"/>
        <w:rPr>
          <w:rFonts w:ascii="Arial" w:hAnsi="Arial" w:cs="Arial"/>
          <w:sz w:val="22"/>
          <w:szCs w:val="22"/>
        </w:rPr>
      </w:pPr>
    </w:p>
    <w:p w:rsidR="002650A6" w:rsidRPr="001945B4" w:rsidRDefault="002650A6" w:rsidP="00B9011E">
      <w:pPr>
        <w:jc w:val="both"/>
        <w:rPr>
          <w:rFonts w:ascii="Arial" w:hAnsi="Arial" w:cs="Arial"/>
          <w:sz w:val="22"/>
          <w:szCs w:val="22"/>
        </w:rPr>
      </w:pPr>
      <w:r w:rsidRPr="001945B4">
        <w:rPr>
          <w:rFonts w:ascii="Arial" w:hAnsi="Arial" w:cs="Arial"/>
          <w:sz w:val="22"/>
          <w:szCs w:val="22"/>
        </w:rPr>
        <w:t xml:space="preserve">The </w:t>
      </w:r>
      <w:proofErr w:type="spellStart"/>
      <w:r w:rsidRPr="001945B4">
        <w:rPr>
          <w:rFonts w:ascii="Arial" w:hAnsi="Arial" w:cs="Arial"/>
          <w:sz w:val="22"/>
          <w:szCs w:val="22"/>
        </w:rPr>
        <w:t>TSRA</w:t>
      </w:r>
      <w:proofErr w:type="spellEnd"/>
      <w:r w:rsidRPr="001945B4">
        <w:rPr>
          <w:rFonts w:ascii="Arial" w:hAnsi="Arial" w:cs="Arial"/>
          <w:sz w:val="22"/>
          <w:szCs w:val="22"/>
        </w:rPr>
        <w:t xml:space="preserve"> will contribute to provision of essential services and environmental health infrastructure as these are key priority areas noted in the </w:t>
      </w:r>
      <w:hyperlink r:id="rId8" w:history="1">
        <w:r w:rsidRPr="001945B4">
          <w:rPr>
            <w:rStyle w:val="Hyperlink"/>
            <w:rFonts w:ascii="Arial" w:hAnsi="Arial" w:cs="Arial"/>
            <w:sz w:val="22"/>
            <w:szCs w:val="22"/>
          </w:rPr>
          <w:t>Torres Strait and Northern Peninsula Regional Plan 2009-2029</w:t>
        </w:r>
      </w:hyperlink>
      <w:r w:rsidRPr="001945B4">
        <w:rPr>
          <w:rFonts w:ascii="Arial" w:hAnsi="Arial" w:cs="Arial"/>
          <w:sz w:val="22"/>
          <w:szCs w:val="22"/>
        </w:rPr>
        <w:t xml:space="preserve"> and the </w:t>
      </w:r>
      <w:hyperlink r:id="rId9" w:history="1">
        <w:r w:rsidRPr="001945B4">
          <w:rPr>
            <w:rStyle w:val="Hyperlink"/>
            <w:rFonts w:ascii="Arial" w:hAnsi="Arial" w:cs="Arial"/>
            <w:sz w:val="22"/>
            <w:szCs w:val="22"/>
          </w:rPr>
          <w:t xml:space="preserve">Torres Strait Development Plan </w:t>
        </w:r>
        <w:r w:rsidR="00A246F1">
          <w:rPr>
            <w:rStyle w:val="Hyperlink"/>
            <w:rFonts w:ascii="Arial" w:hAnsi="Arial" w:cs="Arial"/>
            <w:sz w:val="22"/>
            <w:szCs w:val="22"/>
          </w:rPr>
          <w:t>2014-2018</w:t>
        </w:r>
        <w:r w:rsidRPr="001945B4">
          <w:rPr>
            <w:rStyle w:val="Hyperlink"/>
            <w:rFonts w:ascii="Arial" w:hAnsi="Arial" w:cs="Arial"/>
            <w:sz w:val="22"/>
            <w:szCs w:val="22"/>
          </w:rPr>
          <w:t>.</w:t>
        </w:r>
      </w:hyperlink>
    </w:p>
    <w:p w:rsidR="002650A6" w:rsidRPr="001945B4" w:rsidRDefault="002650A6" w:rsidP="00B9011E">
      <w:pPr>
        <w:jc w:val="both"/>
        <w:rPr>
          <w:rFonts w:ascii="Arial" w:hAnsi="Arial" w:cs="Arial"/>
          <w:sz w:val="22"/>
          <w:szCs w:val="22"/>
        </w:rPr>
      </w:pPr>
    </w:p>
    <w:p w:rsidR="002650A6" w:rsidRPr="001945B4" w:rsidRDefault="002650A6" w:rsidP="00B9011E">
      <w:pPr>
        <w:jc w:val="both"/>
        <w:rPr>
          <w:rFonts w:ascii="Arial" w:hAnsi="Arial" w:cs="Arial"/>
          <w:sz w:val="22"/>
          <w:szCs w:val="22"/>
        </w:rPr>
      </w:pPr>
      <w:r w:rsidRPr="001945B4">
        <w:rPr>
          <w:rFonts w:ascii="Arial" w:hAnsi="Arial" w:cs="Arial"/>
          <w:sz w:val="22"/>
          <w:szCs w:val="22"/>
        </w:rPr>
        <w:t xml:space="preserve">The </w:t>
      </w:r>
      <w:proofErr w:type="spellStart"/>
      <w:r w:rsidRPr="001945B4">
        <w:rPr>
          <w:rFonts w:ascii="Arial" w:hAnsi="Arial" w:cs="Arial"/>
          <w:sz w:val="22"/>
          <w:szCs w:val="22"/>
        </w:rPr>
        <w:t>TSRA</w:t>
      </w:r>
      <w:proofErr w:type="spellEnd"/>
      <w:r w:rsidRPr="001945B4">
        <w:rPr>
          <w:rFonts w:ascii="Arial" w:hAnsi="Arial" w:cs="Arial"/>
          <w:sz w:val="22"/>
          <w:szCs w:val="22"/>
        </w:rPr>
        <w:t xml:space="preserve"> will play a monitoring and strategic policy role: monitoring the delivery of health initiatives in the Torres Strait and providing strategic policy advice to the Partnership</w:t>
      </w:r>
      <w:r w:rsidR="00A74228">
        <w:rPr>
          <w:rFonts w:ascii="Arial" w:hAnsi="Arial" w:cs="Arial"/>
          <w:sz w:val="22"/>
          <w:szCs w:val="22"/>
        </w:rPr>
        <w:t xml:space="preserve"> discussions focussing on Torres Strait Health</w:t>
      </w:r>
      <w:r w:rsidRPr="001945B4">
        <w:rPr>
          <w:rFonts w:ascii="Arial" w:hAnsi="Arial" w:cs="Arial"/>
          <w:sz w:val="22"/>
          <w:szCs w:val="22"/>
        </w:rPr>
        <w:t xml:space="preserve"> and Integrated Service Delivery Framework partners, to ensure that advances are being made in primary and preventive health care.  The </w:t>
      </w:r>
      <w:proofErr w:type="spellStart"/>
      <w:r w:rsidRPr="001945B4">
        <w:rPr>
          <w:rFonts w:ascii="Arial" w:hAnsi="Arial" w:cs="Arial"/>
          <w:sz w:val="22"/>
          <w:szCs w:val="22"/>
        </w:rPr>
        <w:t>TSRA</w:t>
      </w:r>
      <w:proofErr w:type="spellEnd"/>
      <w:r w:rsidRPr="001945B4">
        <w:rPr>
          <w:rFonts w:ascii="Arial" w:hAnsi="Arial" w:cs="Arial"/>
          <w:sz w:val="22"/>
          <w:szCs w:val="22"/>
        </w:rPr>
        <w:t xml:space="preserve"> will play a more direct role through provision of funding and support to preventative health initiatives that will promote healthy lifestyles and improve the health of our people.  It will link with the Environmental Management Program</w:t>
      </w:r>
      <w:r w:rsidR="00BE7E9F">
        <w:rPr>
          <w:rFonts w:ascii="Arial" w:hAnsi="Arial" w:cs="Arial"/>
          <w:sz w:val="22"/>
          <w:szCs w:val="22"/>
        </w:rPr>
        <w:t>me</w:t>
      </w:r>
      <w:r w:rsidRPr="001945B4">
        <w:rPr>
          <w:rFonts w:ascii="Arial" w:hAnsi="Arial" w:cs="Arial"/>
          <w:sz w:val="22"/>
          <w:szCs w:val="22"/>
        </w:rPr>
        <w:t xml:space="preserve"> to support local fresh food production and engage with food suppliers to explore improved healthy food options.</w:t>
      </w:r>
    </w:p>
    <w:p w:rsidR="002650A6" w:rsidRPr="001945B4" w:rsidRDefault="002650A6" w:rsidP="00B9011E">
      <w:pPr>
        <w:jc w:val="both"/>
        <w:rPr>
          <w:rFonts w:ascii="Arial" w:hAnsi="Arial" w:cs="Arial"/>
          <w:sz w:val="22"/>
          <w:szCs w:val="22"/>
        </w:rPr>
      </w:pPr>
    </w:p>
    <w:p w:rsidR="002650A6" w:rsidRPr="001945B4" w:rsidRDefault="002650A6" w:rsidP="00B9011E">
      <w:pPr>
        <w:jc w:val="both"/>
        <w:rPr>
          <w:rFonts w:ascii="Arial" w:hAnsi="Arial" w:cs="Arial"/>
          <w:sz w:val="22"/>
          <w:szCs w:val="22"/>
        </w:rPr>
      </w:pPr>
      <w:r w:rsidRPr="001945B4">
        <w:rPr>
          <w:rFonts w:ascii="Arial" w:hAnsi="Arial" w:cs="Arial"/>
          <w:sz w:val="22"/>
          <w:szCs w:val="22"/>
        </w:rPr>
        <w:t xml:space="preserve">Additionally, the </w:t>
      </w:r>
      <w:proofErr w:type="spellStart"/>
      <w:r w:rsidRPr="001945B4">
        <w:rPr>
          <w:rFonts w:ascii="Arial" w:hAnsi="Arial" w:cs="Arial"/>
          <w:sz w:val="22"/>
          <w:szCs w:val="22"/>
        </w:rPr>
        <w:t>TSRA</w:t>
      </w:r>
      <w:proofErr w:type="spellEnd"/>
      <w:r w:rsidRPr="001945B4">
        <w:rPr>
          <w:rFonts w:ascii="Arial" w:hAnsi="Arial" w:cs="Arial"/>
          <w:sz w:val="22"/>
          <w:szCs w:val="22"/>
        </w:rPr>
        <w:t xml:space="preserve"> will directly involve itself in making housing more affordable for Indigenous people, and engaging with traditional owners on land tenure and availability of land for housing in order to reduce overcrowding and improve housing and living conditions to an acceptable level.</w:t>
      </w:r>
    </w:p>
    <w:p w:rsidR="002650A6" w:rsidRPr="001945B4" w:rsidRDefault="002650A6" w:rsidP="00010CAC">
      <w:pPr>
        <w:pStyle w:val="Heading3"/>
        <w:rPr>
          <w:sz w:val="24"/>
          <w:szCs w:val="24"/>
        </w:rPr>
      </w:pPr>
      <w:r w:rsidRPr="001945B4">
        <w:rPr>
          <w:sz w:val="24"/>
          <w:szCs w:val="24"/>
        </w:rPr>
        <w:t>Program</w:t>
      </w:r>
      <w:r w:rsidR="00BE7E9F">
        <w:rPr>
          <w:sz w:val="24"/>
          <w:szCs w:val="24"/>
        </w:rPr>
        <w:t>me</w:t>
      </w:r>
      <w:r w:rsidRPr="001945B4">
        <w:rPr>
          <w:sz w:val="24"/>
          <w:szCs w:val="24"/>
        </w:rPr>
        <w:t xml:space="preserve"> Aims</w:t>
      </w:r>
    </w:p>
    <w:p w:rsidR="002650A6" w:rsidRPr="001945B4" w:rsidRDefault="002650A6" w:rsidP="00B9011E">
      <w:pPr>
        <w:jc w:val="both"/>
        <w:rPr>
          <w:rFonts w:ascii="Arial" w:hAnsi="Arial" w:cs="Arial"/>
          <w:sz w:val="22"/>
          <w:szCs w:val="22"/>
        </w:rPr>
      </w:pPr>
      <w:r w:rsidRPr="001945B4">
        <w:rPr>
          <w:rFonts w:ascii="Arial" w:hAnsi="Arial" w:cs="Arial"/>
          <w:sz w:val="22"/>
          <w:szCs w:val="22"/>
        </w:rPr>
        <w:t>The aims of the Program</w:t>
      </w:r>
      <w:r w:rsidR="00BE7E9F">
        <w:rPr>
          <w:rFonts w:ascii="Arial" w:hAnsi="Arial" w:cs="Arial"/>
          <w:sz w:val="22"/>
          <w:szCs w:val="22"/>
        </w:rPr>
        <w:t>me</w:t>
      </w:r>
      <w:r w:rsidRPr="001945B4">
        <w:rPr>
          <w:rFonts w:ascii="Arial" w:hAnsi="Arial" w:cs="Arial"/>
          <w:sz w:val="22"/>
          <w:szCs w:val="22"/>
        </w:rPr>
        <w:t xml:space="preserve"> are to:</w:t>
      </w:r>
    </w:p>
    <w:p w:rsidR="002650A6" w:rsidRPr="001945B4" w:rsidRDefault="00C80A63" w:rsidP="00B9011E">
      <w:pPr>
        <w:numPr>
          <w:ilvl w:val="0"/>
          <w:numId w:val="3"/>
        </w:numPr>
        <w:spacing w:before="120"/>
        <w:jc w:val="both"/>
        <w:rPr>
          <w:rFonts w:ascii="Arial" w:hAnsi="Arial" w:cs="Arial"/>
          <w:sz w:val="22"/>
          <w:szCs w:val="22"/>
        </w:rPr>
      </w:pPr>
      <w:r>
        <w:rPr>
          <w:rFonts w:ascii="Arial" w:hAnsi="Arial" w:cs="Arial"/>
          <w:sz w:val="22"/>
          <w:szCs w:val="22"/>
        </w:rPr>
        <w:t>Seek to influence policy for all health program</w:t>
      </w:r>
      <w:r w:rsidR="00BE7E9F">
        <w:rPr>
          <w:rFonts w:ascii="Arial" w:hAnsi="Arial" w:cs="Arial"/>
          <w:sz w:val="22"/>
          <w:szCs w:val="22"/>
        </w:rPr>
        <w:t>me</w:t>
      </w:r>
      <w:r>
        <w:rPr>
          <w:rFonts w:ascii="Arial" w:hAnsi="Arial" w:cs="Arial"/>
          <w:sz w:val="22"/>
          <w:szCs w:val="22"/>
        </w:rPr>
        <w:t>s across all tiers of government.</w:t>
      </w:r>
    </w:p>
    <w:p w:rsidR="002650A6" w:rsidRPr="001945B4" w:rsidRDefault="00C80A63" w:rsidP="00B9011E">
      <w:pPr>
        <w:numPr>
          <w:ilvl w:val="0"/>
          <w:numId w:val="3"/>
        </w:numPr>
        <w:spacing w:before="120"/>
        <w:jc w:val="both"/>
        <w:rPr>
          <w:rFonts w:ascii="Arial" w:hAnsi="Arial" w:cs="Arial"/>
          <w:sz w:val="22"/>
          <w:szCs w:val="22"/>
        </w:rPr>
      </w:pPr>
      <w:r>
        <w:rPr>
          <w:rFonts w:ascii="Arial" w:hAnsi="Arial" w:cs="Arial"/>
          <w:sz w:val="22"/>
          <w:szCs w:val="22"/>
        </w:rPr>
        <w:t>Monitor health services and health initiatives across the Torres Strait and Northern Peninsula Area and provide strategic policy advice (this will be undertaken under the broad umbrella of Integrated Service Delivery).</w:t>
      </w:r>
    </w:p>
    <w:p w:rsidR="002650A6" w:rsidRPr="00C80A63" w:rsidRDefault="00C80A63" w:rsidP="00B9011E">
      <w:pPr>
        <w:numPr>
          <w:ilvl w:val="0"/>
          <w:numId w:val="3"/>
        </w:numPr>
        <w:spacing w:before="120"/>
        <w:jc w:val="both"/>
        <w:rPr>
          <w:rFonts w:ascii="Arial" w:hAnsi="Arial" w:cs="Arial"/>
        </w:rPr>
      </w:pPr>
      <w:r>
        <w:rPr>
          <w:rFonts w:ascii="Arial" w:hAnsi="Arial" w:cs="Arial"/>
          <w:sz w:val="22"/>
          <w:szCs w:val="22"/>
        </w:rPr>
        <w:t>Direct support targeting healthy lifestyles, including improving availability of fresh produce and healthy food options, and encouraging people to undertake healthy activities.</w:t>
      </w:r>
    </w:p>
    <w:p w:rsidR="00C80A63" w:rsidRPr="00C80A63" w:rsidRDefault="00C80A63" w:rsidP="00B9011E">
      <w:pPr>
        <w:numPr>
          <w:ilvl w:val="0"/>
          <w:numId w:val="3"/>
        </w:numPr>
        <w:spacing w:before="120"/>
        <w:jc w:val="both"/>
        <w:rPr>
          <w:rFonts w:ascii="Arial" w:hAnsi="Arial" w:cs="Arial"/>
        </w:rPr>
      </w:pPr>
      <w:r>
        <w:rPr>
          <w:rFonts w:ascii="Arial" w:hAnsi="Arial" w:cs="Arial"/>
          <w:sz w:val="22"/>
          <w:szCs w:val="22"/>
        </w:rPr>
        <w:t xml:space="preserve">Provide some direct support for home ownership and other specific housing </w:t>
      </w:r>
      <w:proofErr w:type="gramStart"/>
      <w:r>
        <w:rPr>
          <w:rFonts w:ascii="Arial" w:hAnsi="Arial" w:cs="Arial"/>
          <w:sz w:val="22"/>
          <w:szCs w:val="22"/>
        </w:rPr>
        <w:t>initiatives</w:t>
      </w:r>
      <w:proofErr w:type="gramEnd"/>
      <w:r>
        <w:rPr>
          <w:rFonts w:ascii="Arial" w:hAnsi="Arial" w:cs="Arial"/>
          <w:sz w:val="22"/>
          <w:szCs w:val="22"/>
        </w:rPr>
        <w:t xml:space="preserve"> when linked to economic development, including small enterprise and trade skills development and/or environmental management in terms of water management and renewable energies.</w:t>
      </w:r>
    </w:p>
    <w:p w:rsidR="00C80A63" w:rsidRPr="001945B4" w:rsidRDefault="00C80A63" w:rsidP="00B9011E">
      <w:pPr>
        <w:numPr>
          <w:ilvl w:val="0"/>
          <w:numId w:val="3"/>
        </w:numPr>
        <w:spacing w:before="120"/>
        <w:jc w:val="both"/>
        <w:rPr>
          <w:rFonts w:ascii="Arial" w:hAnsi="Arial" w:cs="Arial"/>
        </w:rPr>
      </w:pPr>
      <w:r>
        <w:rPr>
          <w:rFonts w:ascii="Arial" w:hAnsi="Arial" w:cs="Arial"/>
          <w:sz w:val="22"/>
          <w:szCs w:val="22"/>
        </w:rPr>
        <w:t>Engage with Traditional Owners regarding negotiations for land release for housing development, where appropriate.</w:t>
      </w:r>
    </w:p>
    <w:p w:rsidR="001C418C" w:rsidRDefault="001C418C">
      <w:pPr>
        <w:rPr>
          <w:rFonts w:ascii="Arial" w:hAnsi="Arial" w:cs="Arial"/>
          <w:b/>
          <w:bCs/>
        </w:rPr>
      </w:pPr>
      <w:r>
        <w:br w:type="page"/>
      </w:r>
    </w:p>
    <w:p w:rsidR="002650A6" w:rsidRPr="001945B4" w:rsidRDefault="002650A6" w:rsidP="00422436">
      <w:pPr>
        <w:pStyle w:val="Heading3"/>
        <w:rPr>
          <w:sz w:val="24"/>
          <w:szCs w:val="24"/>
        </w:rPr>
      </w:pPr>
      <w:r w:rsidRPr="001945B4">
        <w:rPr>
          <w:sz w:val="24"/>
          <w:szCs w:val="24"/>
        </w:rPr>
        <w:lastRenderedPageBreak/>
        <w:t>Planned benefits</w:t>
      </w:r>
    </w:p>
    <w:p w:rsidR="002650A6" w:rsidRPr="003E2BB3" w:rsidRDefault="009752EE" w:rsidP="00B9011E">
      <w:pPr>
        <w:jc w:val="both"/>
        <w:rPr>
          <w:rFonts w:ascii="Arial" w:hAnsi="Arial" w:cs="Arial"/>
          <w:sz w:val="22"/>
          <w:szCs w:val="22"/>
          <w:u w:val="single"/>
        </w:rPr>
      </w:pPr>
      <w:r w:rsidRPr="003E2BB3">
        <w:rPr>
          <w:rFonts w:ascii="Arial" w:hAnsi="Arial" w:cs="Arial"/>
          <w:sz w:val="22"/>
          <w:szCs w:val="22"/>
          <w:u w:val="single"/>
        </w:rPr>
        <w:t>2014-2018:</w:t>
      </w:r>
    </w:p>
    <w:p w:rsidR="002650A6" w:rsidRPr="003E2BB3" w:rsidRDefault="009752EE" w:rsidP="001945B4">
      <w:pPr>
        <w:numPr>
          <w:ilvl w:val="0"/>
          <w:numId w:val="14"/>
        </w:numPr>
        <w:spacing w:before="120"/>
        <w:jc w:val="both"/>
        <w:rPr>
          <w:rFonts w:ascii="Arial" w:hAnsi="Arial" w:cs="Arial"/>
          <w:sz w:val="22"/>
          <w:szCs w:val="22"/>
        </w:rPr>
      </w:pPr>
      <w:r w:rsidRPr="003E2BB3">
        <w:rPr>
          <w:rFonts w:ascii="Arial" w:hAnsi="Arial" w:cs="Arial"/>
          <w:sz w:val="22"/>
          <w:szCs w:val="22"/>
        </w:rPr>
        <w:t>Affordable fresh produce available for communities.</w:t>
      </w:r>
    </w:p>
    <w:p w:rsidR="002650A6" w:rsidRPr="003E2BB3" w:rsidRDefault="002650A6" w:rsidP="001945B4">
      <w:pPr>
        <w:numPr>
          <w:ilvl w:val="0"/>
          <w:numId w:val="14"/>
        </w:numPr>
        <w:spacing w:before="120"/>
        <w:jc w:val="both"/>
        <w:rPr>
          <w:rFonts w:ascii="Arial" w:hAnsi="Arial" w:cs="Arial"/>
          <w:sz w:val="22"/>
          <w:szCs w:val="22"/>
        </w:rPr>
      </w:pPr>
      <w:r w:rsidRPr="003E2BB3">
        <w:rPr>
          <w:rFonts w:ascii="Arial" w:hAnsi="Arial" w:cs="Arial"/>
          <w:sz w:val="22"/>
          <w:szCs w:val="22"/>
        </w:rPr>
        <w:t>Communities have essential services and infrastructure to support healthy living environments</w:t>
      </w:r>
    </w:p>
    <w:p w:rsidR="002650A6" w:rsidRPr="003E2BB3" w:rsidRDefault="009752EE" w:rsidP="001945B4">
      <w:pPr>
        <w:numPr>
          <w:ilvl w:val="0"/>
          <w:numId w:val="14"/>
        </w:numPr>
        <w:spacing w:before="120"/>
        <w:jc w:val="both"/>
        <w:rPr>
          <w:rFonts w:ascii="Arial" w:hAnsi="Arial" w:cs="Arial"/>
          <w:sz w:val="22"/>
          <w:szCs w:val="22"/>
        </w:rPr>
      </w:pPr>
      <w:r w:rsidRPr="003E2BB3">
        <w:rPr>
          <w:rFonts w:ascii="Arial" w:hAnsi="Arial" w:cs="Arial"/>
          <w:sz w:val="22"/>
          <w:szCs w:val="22"/>
        </w:rPr>
        <w:t>Community and individual participation in healthy activities.</w:t>
      </w:r>
    </w:p>
    <w:p w:rsidR="002650A6" w:rsidRPr="003E2BB3" w:rsidRDefault="009752EE" w:rsidP="001945B4">
      <w:pPr>
        <w:numPr>
          <w:ilvl w:val="0"/>
          <w:numId w:val="14"/>
        </w:numPr>
        <w:spacing w:before="120"/>
        <w:jc w:val="both"/>
        <w:rPr>
          <w:rFonts w:ascii="Arial" w:hAnsi="Arial" w:cs="Arial"/>
          <w:sz w:val="22"/>
          <w:szCs w:val="22"/>
        </w:rPr>
      </w:pPr>
      <w:r w:rsidRPr="003E2BB3">
        <w:rPr>
          <w:rFonts w:ascii="Arial" w:hAnsi="Arial" w:cs="Arial"/>
          <w:sz w:val="22"/>
          <w:szCs w:val="22"/>
        </w:rPr>
        <w:t>Increased government investment in housing and affordable home ownership options.</w:t>
      </w:r>
    </w:p>
    <w:p w:rsidR="002650A6" w:rsidRPr="003E2BB3" w:rsidRDefault="002650A6">
      <w:pPr>
        <w:tabs>
          <w:tab w:val="left" w:pos="5460"/>
        </w:tabs>
        <w:ind w:left="5460"/>
        <w:jc w:val="both"/>
        <w:rPr>
          <w:rFonts w:ascii="Arial" w:hAnsi="Arial" w:cs="Arial"/>
          <w:b/>
          <w:sz w:val="22"/>
          <w:szCs w:val="22"/>
        </w:rPr>
      </w:pPr>
    </w:p>
    <w:p w:rsidR="002650A6" w:rsidRPr="003E2BB3" w:rsidRDefault="009752EE" w:rsidP="001945B4">
      <w:pPr>
        <w:jc w:val="both"/>
        <w:rPr>
          <w:rFonts w:ascii="Arial" w:hAnsi="Arial" w:cs="Arial"/>
          <w:sz w:val="22"/>
          <w:szCs w:val="22"/>
          <w:u w:val="single"/>
        </w:rPr>
      </w:pPr>
      <w:r w:rsidRPr="003E2BB3">
        <w:rPr>
          <w:rFonts w:ascii="Arial" w:hAnsi="Arial" w:cs="Arial"/>
          <w:sz w:val="22"/>
          <w:szCs w:val="22"/>
          <w:u w:val="single"/>
        </w:rPr>
        <w:t>Future Development Plans:</w:t>
      </w:r>
    </w:p>
    <w:p w:rsidR="002650A6" w:rsidRPr="003E2BB3" w:rsidRDefault="002650A6" w:rsidP="001945B4">
      <w:pPr>
        <w:numPr>
          <w:ilvl w:val="0"/>
          <w:numId w:val="13"/>
        </w:numPr>
        <w:spacing w:before="120"/>
        <w:jc w:val="both"/>
        <w:rPr>
          <w:rFonts w:ascii="Arial" w:hAnsi="Arial" w:cs="Arial"/>
          <w:sz w:val="22"/>
          <w:szCs w:val="22"/>
        </w:rPr>
      </w:pPr>
      <w:r w:rsidRPr="003E2BB3">
        <w:rPr>
          <w:rFonts w:ascii="Arial" w:hAnsi="Arial" w:cs="Arial"/>
          <w:sz w:val="22"/>
          <w:szCs w:val="22"/>
        </w:rPr>
        <w:t>Reduced</w:t>
      </w:r>
      <w:r w:rsidR="009752EE" w:rsidRPr="003E2BB3">
        <w:rPr>
          <w:rFonts w:ascii="Arial" w:hAnsi="Arial" w:cs="Arial"/>
          <w:sz w:val="22"/>
          <w:szCs w:val="22"/>
        </w:rPr>
        <w:t xml:space="preserve"> prevalence of disease resulting from poor environmental health infrastructure.</w:t>
      </w:r>
    </w:p>
    <w:p w:rsidR="002650A6" w:rsidRPr="003E2BB3" w:rsidRDefault="009752EE" w:rsidP="001945B4">
      <w:pPr>
        <w:numPr>
          <w:ilvl w:val="0"/>
          <w:numId w:val="13"/>
        </w:numPr>
        <w:spacing w:before="120"/>
        <w:jc w:val="both"/>
        <w:rPr>
          <w:rFonts w:ascii="Arial" w:hAnsi="Arial" w:cs="Arial"/>
          <w:sz w:val="22"/>
          <w:szCs w:val="22"/>
        </w:rPr>
      </w:pPr>
      <w:r w:rsidRPr="003E2BB3">
        <w:rPr>
          <w:rFonts w:ascii="Arial" w:hAnsi="Arial" w:cs="Arial"/>
          <w:sz w:val="22"/>
          <w:szCs w:val="22"/>
        </w:rPr>
        <w:t>Reduced chronic disease levels.</w:t>
      </w:r>
    </w:p>
    <w:p w:rsidR="002650A6" w:rsidRPr="003E2BB3" w:rsidRDefault="002650A6" w:rsidP="001945B4">
      <w:pPr>
        <w:numPr>
          <w:ilvl w:val="0"/>
          <w:numId w:val="13"/>
        </w:numPr>
        <w:spacing w:before="120"/>
        <w:jc w:val="both"/>
        <w:rPr>
          <w:rFonts w:ascii="Arial" w:hAnsi="Arial" w:cs="Arial"/>
          <w:sz w:val="22"/>
          <w:szCs w:val="22"/>
        </w:rPr>
      </w:pPr>
      <w:r w:rsidRPr="003E2BB3">
        <w:rPr>
          <w:rFonts w:ascii="Arial" w:hAnsi="Arial" w:cs="Arial"/>
          <w:sz w:val="22"/>
          <w:szCs w:val="22"/>
        </w:rPr>
        <w:t>Reduced overcrowding</w:t>
      </w:r>
      <w:r w:rsidR="00A52A2B" w:rsidRPr="003E2BB3">
        <w:rPr>
          <w:rFonts w:ascii="Arial" w:hAnsi="Arial" w:cs="Arial"/>
          <w:sz w:val="22"/>
          <w:szCs w:val="22"/>
        </w:rPr>
        <w:t>.</w:t>
      </w:r>
    </w:p>
    <w:p w:rsidR="002650A6" w:rsidRPr="003E2BB3" w:rsidRDefault="002650A6" w:rsidP="001945B4">
      <w:pPr>
        <w:numPr>
          <w:ilvl w:val="0"/>
          <w:numId w:val="13"/>
        </w:numPr>
        <w:spacing w:before="120"/>
        <w:jc w:val="both"/>
        <w:rPr>
          <w:rFonts w:ascii="Arial" w:hAnsi="Arial" w:cs="Arial"/>
          <w:sz w:val="22"/>
          <w:szCs w:val="22"/>
        </w:rPr>
      </w:pPr>
      <w:r w:rsidRPr="003E2BB3">
        <w:rPr>
          <w:rFonts w:ascii="Arial" w:hAnsi="Arial" w:cs="Arial"/>
          <w:sz w:val="22"/>
          <w:szCs w:val="22"/>
        </w:rPr>
        <w:t>Increase in home ownership by Torres Strait Islander and Aboriginal residents.</w:t>
      </w:r>
    </w:p>
    <w:p w:rsidR="00A473FF" w:rsidRPr="003E2BB3" w:rsidRDefault="00A473FF" w:rsidP="00A473FF">
      <w:pPr>
        <w:pBdr>
          <w:bottom w:val="single" w:sz="4" w:space="1" w:color="auto"/>
        </w:pBdr>
        <w:spacing w:before="120"/>
        <w:jc w:val="both"/>
        <w:rPr>
          <w:rFonts w:ascii="Arial" w:hAnsi="Arial" w:cs="Arial"/>
          <w:b/>
          <w:sz w:val="22"/>
          <w:szCs w:val="22"/>
        </w:rPr>
      </w:pPr>
    </w:p>
    <w:p w:rsidR="00A473FF" w:rsidRPr="00A473FF" w:rsidRDefault="000D0CC4" w:rsidP="0089089C">
      <w:pPr>
        <w:pStyle w:val="Heading3"/>
        <w:rPr>
          <w:i/>
          <w:sz w:val="24"/>
          <w:szCs w:val="24"/>
        </w:rPr>
      </w:pPr>
      <w:r>
        <w:rPr>
          <w:i/>
          <w:sz w:val="24"/>
          <w:szCs w:val="24"/>
        </w:rPr>
        <w:t>Part C</w:t>
      </w:r>
      <w:r w:rsidR="00A473FF">
        <w:rPr>
          <w:i/>
          <w:sz w:val="24"/>
          <w:szCs w:val="24"/>
        </w:rPr>
        <w:t xml:space="preserve"> – Initiative </w:t>
      </w:r>
      <w:r w:rsidR="0096122B">
        <w:rPr>
          <w:i/>
          <w:sz w:val="24"/>
          <w:szCs w:val="24"/>
        </w:rPr>
        <w:t>I</w:t>
      </w:r>
      <w:r w:rsidR="00A473FF">
        <w:rPr>
          <w:i/>
          <w:sz w:val="24"/>
          <w:szCs w:val="24"/>
        </w:rPr>
        <w:t>nformation</w:t>
      </w:r>
    </w:p>
    <w:p w:rsidR="002650A6" w:rsidRPr="001945B4" w:rsidRDefault="002650A6" w:rsidP="00C72B8D">
      <w:pPr>
        <w:pStyle w:val="Heading3"/>
        <w:rPr>
          <w:sz w:val="24"/>
          <w:szCs w:val="24"/>
        </w:rPr>
      </w:pPr>
      <w:r w:rsidRPr="001945B4">
        <w:rPr>
          <w:sz w:val="24"/>
          <w:szCs w:val="24"/>
        </w:rPr>
        <w:t>Who can apply</w:t>
      </w:r>
    </w:p>
    <w:p w:rsidR="002650A6" w:rsidRDefault="002650A6" w:rsidP="00C8105B">
      <w:pPr>
        <w:jc w:val="both"/>
        <w:rPr>
          <w:rFonts w:ascii="Arial" w:hAnsi="Arial" w:cs="Arial"/>
          <w:sz w:val="22"/>
          <w:szCs w:val="22"/>
        </w:rPr>
      </w:pPr>
      <w:r w:rsidRPr="001945B4">
        <w:rPr>
          <w:rFonts w:ascii="Arial" w:hAnsi="Arial" w:cs="Arial"/>
          <w:sz w:val="22"/>
          <w:szCs w:val="22"/>
        </w:rPr>
        <w:t xml:space="preserve">Indigenous incorporated organisations or individuals from the Torres Strait Region and Northern Peninsula Area (Bamaga and </w:t>
      </w:r>
      <w:proofErr w:type="spellStart"/>
      <w:r w:rsidRPr="001945B4">
        <w:rPr>
          <w:rFonts w:ascii="Arial" w:hAnsi="Arial" w:cs="Arial"/>
          <w:sz w:val="22"/>
          <w:szCs w:val="22"/>
        </w:rPr>
        <w:t>Seisia</w:t>
      </w:r>
      <w:proofErr w:type="spellEnd"/>
      <w:r w:rsidRPr="001945B4">
        <w:rPr>
          <w:rFonts w:ascii="Arial" w:hAnsi="Arial" w:cs="Arial"/>
          <w:sz w:val="22"/>
          <w:szCs w:val="22"/>
        </w:rPr>
        <w:t xml:space="preserve"> communities only) can apply.</w:t>
      </w:r>
    </w:p>
    <w:p w:rsidR="00A52A2B" w:rsidRDefault="00A52A2B" w:rsidP="00C8105B">
      <w:pPr>
        <w:jc w:val="both"/>
        <w:rPr>
          <w:rFonts w:ascii="Arial" w:hAnsi="Arial" w:cs="Arial"/>
          <w:sz w:val="22"/>
          <w:szCs w:val="22"/>
        </w:rPr>
      </w:pPr>
    </w:p>
    <w:p w:rsidR="00A52A2B" w:rsidRDefault="00A52A2B" w:rsidP="00C8105B">
      <w:pPr>
        <w:jc w:val="both"/>
        <w:rPr>
          <w:rFonts w:ascii="Arial" w:hAnsi="Arial" w:cs="Arial"/>
          <w:sz w:val="22"/>
          <w:szCs w:val="22"/>
        </w:rPr>
      </w:pPr>
      <w:r>
        <w:rPr>
          <w:rFonts w:ascii="Arial" w:hAnsi="Arial" w:cs="Arial"/>
          <w:sz w:val="22"/>
          <w:szCs w:val="22"/>
        </w:rPr>
        <w:t xml:space="preserve">Board Members and employees of the Torres Strait Regional Authority are </w:t>
      </w:r>
      <w:r w:rsidRPr="0006734D">
        <w:rPr>
          <w:rFonts w:ascii="Arial" w:hAnsi="Arial" w:cs="Arial"/>
          <w:b/>
          <w:sz w:val="22"/>
          <w:szCs w:val="22"/>
        </w:rPr>
        <w:t>not</w:t>
      </w:r>
      <w:r>
        <w:rPr>
          <w:rFonts w:ascii="Arial" w:hAnsi="Arial" w:cs="Arial"/>
          <w:sz w:val="22"/>
          <w:szCs w:val="22"/>
        </w:rPr>
        <w:t xml:space="preserve"> eligible to apply for grant funding either in their own right or on behalf of another person or organisation. Organisations who wish to apply for grant funding, and who have </w:t>
      </w:r>
      <w:proofErr w:type="spellStart"/>
      <w:r>
        <w:rPr>
          <w:rFonts w:ascii="Arial" w:hAnsi="Arial" w:cs="Arial"/>
          <w:sz w:val="22"/>
          <w:szCs w:val="22"/>
        </w:rPr>
        <w:t>TSRA</w:t>
      </w:r>
      <w:proofErr w:type="spellEnd"/>
      <w:r>
        <w:rPr>
          <w:rFonts w:ascii="Arial" w:hAnsi="Arial" w:cs="Arial"/>
          <w:sz w:val="22"/>
          <w:szCs w:val="22"/>
        </w:rPr>
        <w:t xml:space="preserve"> Members of employees who hold Director </w:t>
      </w:r>
      <w:proofErr w:type="gramStart"/>
      <w:r>
        <w:rPr>
          <w:rFonts w:ascii="Arial" w:hAnsi="Arial" w:cs="Arial"/>
          <w:sz w:val="22"/>
          <w:szCs w:val="22"/>
        </w:rPr>
        <w:t>positions</w:t>
      </w:r>
      <w:proofErr w:type="gramEnd"/>
      <w:r>
        <w:rPr>
          <w:rFonts w:ascii="Arial" w:hAnsi="Arial" w:cs="Arial"/>
          <w:sz w:val="22"/>
          <w:szCs w:val="22"/>
        </w:rPr>
        <w:t xml:space="preserve"> within their organisation, must ensure that other Directors are used to sign the grant application forms.</w:t>
      </w:r>
    </w:p>
    <w:p w:rsidR="00ED5B29" w:rsidRPr="001945B4" w:rsidRDefault="00ED5B29" w:rsidP="00ED5B29">
      <w:pPr>
        <w:pStyle w:val="Heading3"/>
        <w:rPr>
          <w:sz w:val="24"/>
          <w:szCs w:val="24"/>
        </w:rPr>
      </w:pPr>
      <w:r w:rsidRPr="001945B4">
        <w:rPr>
          <w:sz w:val="24"/>
          <w:szCs w:val="24"/>
        </w:rPr>
        <w:t>What activities may be considered for funding</w:t>
      </w:r>
    </w:p>
    <w:p w:rsidR="00ED5B29" w:rsidRDefault="00ED5B29" w:rsidP="00ED5B29">
      <w:pPr>
        <w:spacing w:before="120"/>
        <w:jc w:val="both"/>
        <w:rPr>
          <w:rFonts w:ascii="Arial" w:hAnsi="Arial" w:cs="Arial"/>
          <w:sz w:val="22"/>
          <w:szCs w:val="22"/>
        </w:rPr>
      </w:pPr>
      <w:r>
        <w:rPr>
          <w:rFonts w:ascii="Arial" w:hAnsi="Arial" w:cs="Arial"/>
          <w:sz w:val="22"/>
          <w:szCs w:val="22"/>
        </w:rPr>
        <w:t>Activities that directly support the</w:t>
      </w:r>
      <w:r w:rsidR="00BE7E9F">
        <w:rPr>
          <w:rFonts w:ascii="Arial" w:hAnsi="Arial" w:cs="Arial"/>
          <w:sz w:val="22"/>
          <w:szCs w:val="22"/>
        </w:rPr>
        <w:t xml:space="preserve"> following Healthy Communities P</w:t>
      </w:r>
      <w:r>
        <w:rPr>
          <w:rFonts w:ascii="Arial" w:hAnsi="Arial" w:cs="Arial"/>
          <w:sz w:val="22"/>
          <w:szCs w:val="22"/>
        </w:rPr>
        <w:t>rogram</w:t>
      </w:r>
      <w:r w:rsidR="00BE7E9F">
        <w:rPr>
          <w:rFonts w:ascii="Arial" w:hAnsi="Arial" w:cs="Arial"/>
          <w:sz w:val="22"/>
          <w:szCs w:val="22"/>
        </w:rPr>
        <w:t>me</w:t>
      </w:r>
      <w:r>
        <w:rPr>
          <w:rFonts w:ascii="Arial" w:hAnsi="Arial" w:cs="Arial"/>
          <w:sz w:val="22"/>
          <w:szCs w:val="22"/>
        </w:rPr>
        <w:t xml:space="preserve"> outcomes:</w:t>
      </w:r>
    </w:p>
    <w:p w:rsidR="00ED5B29" w:rsidRPr="001945B4" w:rsidRDefault="00ED5B29" w:rsidP="00ED5B29">
      <w:pPr>
        <w:numPr>
          <w:ilvl w:val="0"/>
          <w:numId w:val="3"/>
        </w:numPr>
        <w:spacing w:before="120"/>
        <w:jc w:val="both"/>
        <w:rPr>
          <w:rFonts w:ascii="Arial" w:hAnsi="Arial" w:cs="Arial"/>
          <w:sz w:val="22"/>
          <w:szCs w:val="22"/>
        </w:rPr>
      </w:pPr>
      <w:r w:rsidRPr="001945B4">
        <w:rPr>
          <w:rFonts w:ascii="Arial" w:hAnsi="Arial" w:cs="Arial"/>
          <w:sz w:val="22"/>
          <w:szCs w:val="22"/>
        </w:rPr>
        <w:t>Healthy Homes initiatives (including health promotion/education);</w:t>
      </w:r>
    </w:p>
    <w:p w:rsidR="008210F1" w:rsidRDefault="00ED5B29" w:rsidP="008210F1">
      <w:pPr>
        <w:numPr>
          <w:ilvl w:val="0"/>
          <w:numId w:val="3"/>
        </w:numPr>
        <w:spacing w:before="120"/>
        <w:jc w:val="both"/>
        <w:rPr>
          <w:rFonts w:ascii="Arial" w:hAnsi="Arial" w:cs="Arial"/>
          <w:sz w:val="22"/>
          <w:szCs w:val="22"/>
        </w:rPr>
      </w:pPr>
      <w:r w:rsidRPr="008210F1">
        <w:rPr>
          <w:rFonts w:ascii="Arial" w:hAnsi="Arial" w:cs="Arial"/>
          <w:sz w:val="22"/>
          <w:szCs w:val="22"/>
        </w:rPr>
        <w:t>Healthy Lifestyles initiatives</w:t>
      </w:r>
    </w:p>
    <w:p w:rsidR="00ED5B29" w:rsidRPr="008210F1" w:rsidRDefault="0044099A" w:rsidP="008210F1">
      <w:pPr>
        <w:numPr>
          <w:ilvl w:val="0"/>
          <w:numId w:val="3"/>
        </w:numPr>
        <w:spacing w:before="120"/>
        <w:jc w:val="both"/>
        <w:rPr>
          <w:rFonts w:ascii="Arial" w:hAnsi="Arial" w:cs="Arial"/>
          <w:sz w:val="22"/>
          <w:szCs w:val="22"/>
        </w:rPr>
      </w:pPr>
      <w:r w:rsidRPr="008210F1">
        <w:rPr>
          <w:rFonts w:ascii="Arial" w:hAnsi="Arial" w:cs="Arial"/>
          <w:sz w:val="22"/>
          <w:szCs w:val="22"/>
        </w:rPr>
        <w:t>NOTE: A separate grant process is administered outside of the Common Funding Round for minor infrastructure projects. Only regional councils are eligible for minor infrastructure funding.</w:t>
      </w:r>
      <w:r w:rsidR="00ED5B29" w:rsidRPr="008210F1">
        <w:rPr>
          <w:rFonts w:ascii="Arial" w:hAnsi="Arial" w:cs="Arial"/>
          <w:sz w:val="22"/>
          <w:szCs w:val="22"/>
        </w:rPr>
        <w:t xml:space="preserve"> </w:t>
      </w:r>
    </w:p>
    <w:p w:rsidR="002650A6" w:rsidRPr="001945B4" w:rsidRDefault="002650A6" w:rsidP="00C8105B">
      <w:pPr>
        <w:pStyle w:val="Heading3"/>
        <w:jc w:val="both"/>
        <w:rPr>
          <w:sz w:val="24"/>
          <w:szCs w:val="24"/>
        </w:rPr>
      </w:pPr>
      <w:r w:rsidRPr="001945B4">
        <w:rPr>
          <w:sz w:val="24"/>
          <w:szCs w:val="24"/>
        </w:rPr>
        <w:t>What is not funded</w:t>
      </w:r>
    </w:p>
    <w:p w:rsidR="00A473FF" w:rsidRDefault="003E2BB3" w:rsidP="00A473FF">
      <w:pPr>
        <w:pStyle w:val="Pa7"/>
        <w:numPr>
          <w:ilvl w:val="0"/>
          <w:numId w:val="16"/>
        </w:numPr>
        <w:spacing w:before="40" w:after="40"/>
        <w:jc w:val="both"/>
        <w:rPr>
          <w:rFonts w:ascii="Arial" w:hAnsi="Arial" w:cs="Arial"/>
          <w:sz w:val="22"/>
          <w:szCs w:val="22"/>
        </w:rPr>
      </w:pPr>
      <w:r>
        <w:rPr>
          <w:rFonts w:ascii="Arial" w:hAnsi="Arial" w:cs="Arial"/>
          <w:sz w:val="22"/>
          <w:szCs w:val="22"/>
        </w:rPr>
        <w:t>A</w:t>
      </w:r>
      <w:r w:rsidR="002650A6" w:rsidRPr="001945B4">
        <w:rPr>
          <w:rFonts w:ascii="Arial" w:hAnsi="Arial" w:cs="Arial"/>
          <w:sz w:val="22"/>
          <w:szCs w:val="22"/>
        </w:rPr>
        <w:t>ctivities which a</w:t>
      </w:r>
      <w:r w:rsidR="00BE7E9F">
        <w:rPr>
          <w:rFonts w:ascii="Arial" w:hAnsi="Arial" w:cs="Arial"/>
          <w:sz w:val="22"/>
          <w:szCs w:val="22"/>
        </w:rPr>
        <w:t>re the responsibility of other P</w:t>
      </w:r>
      <w:r w:rsidR="002650A6" w:rsidRPr="001945B4">
        <w:rPr>
          <w:rFonts w:ascii="Arial" w:hAnsi="Arial" w:cs="Arial"/>
          <w:sz w:val="22"/>
          <w:szCs w:val="22"/>
        </w:rPr>
        <w:t>rogram</w:t>
      </w:r>
      <w:r w:rsidR="00BE7E9F">
        <w:rPr>
          <w:rFonts w:ascii="Arial" w:hAnsi="Arial" w:cs="Arial"/>
          <w:sz w:val="22"/>
          <w:szCs w:val="22"/>
        </w:rPr>
        <w:t>me</w:t>
      </w:r>
      <w:r w:rsidR="002650A6" w:rsidRPr="001945B4">
        <w:rPr>
          <w:rFonts w:ascii="Arial" w:hAnsi="Arial" w:cs="Arial"/>
          <w:sz w:val="22"/>
          <w:szCs w:val="22"/>
        </w:rPr>
        <w:t xml:space="preserve">s or that could reasonably be funded by other government departments.  </w:t>
      </w:r>
    </w:p>
    <w:p w:rsidR="003E2BB3" w:rsidRDefault="003E2BB3" w:rsidP="006B32CD">
      <w:pPr>
        <w:pStyle w:val="Pa7"/>
        <w:numPr>
          <w:ilvl w:val="0"/>
          <w:numId w:val="16"/>
        </w:numPr>
        <w:spacing w:before="40" w:after="40"/>
        <w:jc w:val="both"/>
        <w:rPr>
          <w:rFonts w:ascii="Arial" w:hAnsi="Arial" w:cs="Arial"/>
          <w:sz w:val="22"/>
          <w:szCs w:val="22"/>
        </w:rPr>
      </w:pPr>
      <w:r w:rsidRPr="003E2BB3">
        <w:rPr>
          <w:rFonts w:ascii="Arial" w:hAnsi="Arial" w:cs="Arial"/>
          <w:sz w:val="22"/>
          <w:szCs w:val="22"/>
        </w:rPr>
        <w:t>A</w:t>
      </w:r>
      <w:r w:rsidR="002650A6" w:rsidRPr="003E2BB3">
        <w:rPr>
          <w:rFonts w:ascii="Arial" w:hAnsi="Arial" w:cs="Arial"/>
          <w:sz w:val="22"/>
          <w:szCs w:val="22"/>
        </w:rPr>
        <w:t>ctivities which are unable to dem</w:t>
      </w:r>
      <w:r w:rsidR="00BE7E9F" w:rsidRPr="003E2BB3">
        <w:rPr>
          <w:rFonts w:ascii="Arial" w:hAnsi="Arial" w:cs="Arial"/>
          <w:sz w:val="22"/>
          <w:szCs w:val="22"/>
        </w:rPr>
        <w:t>onstrate a contribution to the P</w:t>
      </w:r>
      <w:r w:rsidR="002650A6" w:rsidRPr="003E2BB3">
        <w:rPr>
          <w:rFonts w:ascii="Arial" w:hAnsi="Arial" w:cs="Arial"/>
          <w:sz w:val="22"/>
          <w:szCs w:val="22"/>
        </w:rPr>
        <w:t>rogram</w:t>
      </w:r>
      <w:r w:rsidR="00BE7E9F" w:rsidRPr="003E2BB3">
        <w:rPr>
          <w:rFonts w:ascii="Arial" w:hAnsi="Arial" w:cs="Arial"/>
          <w:sz w:val="22"/>
          <w:szCs w:val="22"/>
        </w:rPr>
        <w:t>me</w:t>
      </w:r>
      <w:r w:rsidR="002650A6" w:rsidRPr="003E2BB3">
        <w:rPr>
          <w:rFonts w:ascii="Arial" w:hAnsi="Arial" w:cs="Arial"/>
          <w:sz w:val="22"/>
          <w:szCs w:val="22"/>
        </w:rPr>
        <w:t xml:space="preserve">’s aims and targeted benefits. </w:t>
      </w:r>
    </w:p>
    <w:p w:rsidR="003E2BB3" w:rsidRPr="003E2BB3" w:rsidRDefault="003E2BB3" w:rsidP="006B32CD">
      <w:pPr>
        <w:pStyle w:val="Pa7"/>
        <w:numPr>
          <w:ilvl w:val="0"/>
          <w:numId w:val="16"/>
        </w:numPr>
        <w:spacing w:before="40" w:after="40"/>
        <w:jc w:val="both"/>
        <w:rPr>
          <w:rFonts w:ascii="Arial" w:hAnsi="Arial" w:cs="Arial"/>
          <w:sz w:val="22"/>
          <w:szCs w:val="22"/>
        </w:rPr>
      </w:pPr>
      <w:r w:rsidRPr="003E2BB3">
        <w:rPr>
          <w:rFonts w:ascii="Arial" w:hAnsi="Arial" w:cs="Arial"/>
          <w:sz w:val="22"/>
          <w:szCs w:val="22"/>
        </w:rPr>
        <w:t>Projects under $5,000</w:t>
      </w:r>
    </w:p>
    <w:p w:rsidR="002650A6" w:rsidRPr="001945B4" w:rsidRDefault="002650A6" w:rsidP="00C72B8D">
      <w:pPr>
        <w:pStyle w:val="Heading3"/>
        <w:rPr>
          <w:sz w:val="24"/>
          <w:szCs w:val="24"/>
        </w:rPr>
      </w:pPr>
      <w:r w:rsidRPr="001945B4">
        <w:rPr>
          <w:sz w:val="24"/>
          <w:szCs w:val="24"/>
        </w:rPr>
        <w:lastRenderedPageBreak/>
        <w:t>Timing for submissions</w:t>
      </w:r>
    </w:p>
    <w:p w:rsidR="002650A6" w:rsidRPr="001945B4" w:rsidRDefault="002650A6" w:rsidP="00C8105B">
      <w:pPr>
        <w:jc w:val="both"/>
        <w:rPr>
          <w:rFonts w:ascii="Arial" w:hAnsi="Arial" w:cs="Arial"/>
          <w:sz w:val="22"/>
          <w:szCs w:val="22"/>
        </w:rPr>
      </w:pPr>
      <w:r w:rsidRPr="001945B4">
        <w:rPr>
          <w:rFonts w:ascii="Arial" w:hAnsi="Arial" w:cs="Arial"/>
          <w:sz w:val="22"/>
          <w:szCs w:val="22"/>
        </w:rPr>
        <w:t xml:space="preserve">Submissions are to be received in line with the due dates specified in the </w:t>
      </w:r>
      <w:proofErr w:type="spellStart"/>
      <w:r w:rsidRPr="001945B4">
        <w:rPr>
          <w:rFonts w:ascii="Arial" w:hAnsi="Arial" w:cs="Arial"/>
          <w:sz w:val="22"/>
          <w:szCs w:val="22"/>
        </w:rPr>
        <w:t>TSRA</w:t>
      </w:r>
      <w:proofErr w:type="spellEnd"/>
      <w:r w:rsidRPr="001945B4">
        <w:rPr>
          <w:rFonts w:ascii="Arial" w:hAnsi="Arial" w:cs="Arial"/>
          <w:sz w:val="22"/>
          <w:szCs w:val="22"/>
        </w:rPr>
        <w:t xml:space="preserve"> common funding round, or the small grants funding round.</w:t>
      </w:r>
    </w:p>
    <w:p w:rsidR="002650A6" w:rsidRPr="001945B4" w:rsidRDefault="002650A6" w:rsidP="00C72B8D">
      <w:pPr>
        <w:pStyle w:val="Heading3"/>
        <w:rPr>
          <w:sz w:val="24"/>
          <w:szCs w:val="24"/>
        </w:rPr>
      </w:pPr>
      <w:r w:rsidRPr="001945B4">
        <w:rPr>
          <w:sz w:val="24"/>
          <w:szCs w:val="24"/>
        </w:rPr>
        <w:t>Assessment Criteria and Process</w:t>
      </w:r>
    </w:p>
    <w:p w:rsidR="002650A6" w:rsidRPr="001945B4" w:rsidRDefault="002650A6" w:rsidP="00C8105B">
      <w:pPr>
        <w:pStyle w:val="Pa7"/>
        <w:spacing w:before="40" w:after="40"/>
        <w:jc w:val="both"/>
        <w:rPr>
          <w:rFonts w:ascii="Arial" w:hAnsi="Arial" w:cs="Arial"/>
          <w:sz w:val="22"/>
          <w:szCs w:val="22"/>
        </w:rPr>
      </w:pPr>
      <w:r w:rsidRPr="001945B4">
        <w:rPr>
          <w:rFonts w:ascii="Arial" w:hAnsi="Arial" w:cs="Arial"/>
          <w:sz w:val="22"/>
          <w:szCs w:val="22"/>
        </w:rPr>
        <w:t>Applications for initiatives under the Healthy Communities Program</w:t>
      </w:r>
      <w:r w:rsidR="00BE7E9F">
        <w:rPr>
          <w:rFonts w:ascii="Arial" w:hAnsi="Arial" w:cs="Arial"/>
          <w:sz w:val="22"/>
          <w:szCs w:val="22"/>
        </w:rPr>
        <w:t>me</w:t>
      </w:r>
      <w:r w:rsidRPr="001945B4">
        <w:rPr>
          <w:rFonts w:ascii="Arial" w:hAnsi="Arial" w:cs="Arial"/>
          <w:sz w:val="22"/>
          <w:szCs w:val="22"/>
        </w:rPr>
        <w:t xml:space="preserve"> will be considered against the assessment criteria below and in comparison to other applications in the round. </w:t>
      </w:r>
    </w:p>
    <w:p w:rsidR="002650A6" w:rsidRPr="001945B4" w:rsidRDefault="002650A6" w:rsidP="00C8105B">
      <w:pPr>
        <w:pStyle w:val="Pa7"/>
        <w:spacing w:before="40" w:after="40"/>
        <w:jc w:val="both"/>
        <w:rPr>
          <w:rFonts w:ascii="Arial" w:hAnsi="Arial" w:cs="Arial"/>
        </w:rPr>
      </w:pPr>
      <w:r w:rsidRPr="001945B4">
        <w:rPr>
          <w:rFonts w:ascii="Arial" w:hAnsi="Arial" w:cs="Arial"/>
        </w:rPr>
        <w:t xml:space="preserve"> </w:t>
      </w:r>
    </w:p>
    <w:p w:rsidR="002650A6" w:rsidRPr="001945B4" w:rsidRDefault="002650A6" w:rsidP="00A473FF">
      <w:pPr>
        <w:pStyle w:val="Pa17"/>
        <w:numPr>
          <w:ilvl w:val="0"/>
          <w:numId w:val="17"/>
        </w:numPr>
        <w:spacing w:before="40" w:after="40"/>
        <w:jc w:val="both"/>
        <w:rPr>
          <w:rFonts w:ascii="Arial" w:hAnsi="Arial" w:cs="Arial"/>
          <w:sz w:val="22"/>
          <w:szCs w:val="22"/>
        </w:rPr>
      </w:pPr>
      <w:r w:rsidRPr="001945B4">
        <w:rPr>
          <w:rFonts w:ascii="Arial" w:hAnsi="Arial" w:cs="Arial"/>
          <w:sz w:val="22"/>
          <w:szCs w:val="22"/>
        </w:rPr>
        <w:t>A high quality project which benefits the local community and aligns to the outcomes and targeted benefits of the initiatives</w:t>
      </w:r>
      <w:r w:rsidR="00BE7E9F">
        <w:rPr>
          <w:rFonts w:ascii="Arial" w:hAnsi="Arial" w:cs="Arial"/>
          <w:sz w:val="22"/>
          <w:szCs w:val="22"/>
        </w:rPr>
        <w:t xml:space="preserve"> under the Healthy Communities P</w:t>
      </w:r>
      <w:r w:rsidRPr="001945B4">
        <w:rPr>
          <w:rFonts w:ascii="Arial" w:hAnsi="Arial" w:cs="Arial"/>
          <w:sz w:val="22"/>
          <w:szCs w:val="22"/>
        </w:rPr>
        <w:t>rogram</w:t>
      </w:r>
      <w:r w:rsidR="00BE7E9F">
        <w:rPr>
          <w:rFonts w:ascii="Arial" w:hAnsi="Arial" w:cs="Arial"/>
          <w:sz w:val="22"/>
          <w:szCs w:val="22"/>
        </w:rPr>
        <w:t>me</w:t>
      </w:r>
      <w:r w:rsidRPr="001945B4">
        <w:rPr>
          <w:rFonts w:ascii="Arial" w:hAnsi="Arial" w:cs="Arial"/>
          <w:sz w:val="22"/>
          <w:szCs w:val="22"/>
        </w:rPr>
        <w:t>;</w:t>
      </w:r>
    </w:p>
    <w:p w:rsidR="002650A6" w:rsidRPr="001945B4" w:rsidRDefault="002650A6" w:rsidP="00A473FF">
      <w:pPr>
        <w:pStyle w:val="Pa17"/>
        <w:numPr>
          <w:ilvl w:val="0"/>
          <w:numId w:val="17"/>
        </w:numPr>
        <w:spacing w:before="40" w:after="40"/>
        <w:jc w:val="both"/>
        <w:rPr>
          <w:rFonts w:ascii="Arial" w:hAnsi="Arial" w:cs="Arial"/>
          <w:sz w:val="22"/>
          <w:szCs w:val="22"/>
        </w:rPr>
      </w:pPr>
      <w:r w:rsidRPr="001945B4">
        <w:rPr>
          <w:rFonts w:ascii="Arial" w:hAnsi="Arial" w:cs="Arial"/>
          <w:sz w:val="22"/>
          <w:szCs w:val="22"/>
        </w:rPr>
        <w:t>Extent to which the proposal contributes to the shor</w:t>
      </w:r>
      <w:r w:rsidR="001945B4" w:rsidRPr="001945B4">
        <w:rPr>
          <w:rFonts w:ascii="Arial" w:hAnsi="Arial" w:cs="Arial"/>
          <w:sz w:val="22"/>
          <w:szCs w:val="22"/>
        </w:rPr>
        <w:t xml:space="preserve">t and long term benefits of the </w:t>
      </w:r>
      <w:r w:rsidRPr="001945B4">
        <w:rPr>
          <w:rFonts w:ascii="Arial" w:hAnsi="Arial" w:cs="Arial"/>
          <w:sz w:val="22"/>
          <w:szCs w:val="22"/>
        </w:rPr>
        <w:t>Healthy Communities Program</w:t>
      </w:r>
      <w:r w:rsidR="00BE7E9F">
        <w:rPr>
          <w:rFonts w:ascii="Arial" w:hAnsi="Arial" w:cs="Arial"/>
          <w:sz w:val="22"/>
          <w:szCs w:val="22"/>
        </w:rPr>
        <w:t>me</w:t>
      </w:r>
      <w:r w:rsidRPr="001945B4">
        <w:rPr>
          <w:rFonts w:ascii="Arial" w:hAnsi="Arial" w:cs="Arial"/>
          <w:sz w:val="22"/>
          <w:szCs w:val="22"/>
        </w:rPr>
        <w:t>;</w:t>
      </w:r>
    </w:p>
    <w:p w:rsidR="002650A6" w:rsidRPr="001945B4" w:rsidRDefault="002650A6" w:rsidP="00A473FF">
      <w:pPr>
        <w:pStyle w:val="Pa17"/>
        <w:numPr>
          <w:ilvl w:val="0"/>
          <w:numId w:val="17"/>
        </w:numPr>
        <w:spacing w:before="40" w:after="40"/>
        <w:jc w:val="both"/>
        <w:rPr>
          <w:rFonts w:ascii="Arial" w:hAnsi="Arial" w:cs="Arial"/>
          <w:sz w:val="22"/>
          <w:szCs w:val="22"/>
        </w:rPr>
      </w:pPr>
      <w:r w:rsidRPr="001945B4">
        <w:rPr>
          <w:rFonts w:ascii="Arial" w:hAnsi="Arial" w:cs="Arial"/>
          <w:sz w:val="22"/>
          <w:szCs w:val="22"/>
        </w:rPr>
        <w:t>Ability of the applicant to deliver the proposed project (i.e. track record of organisation and individuals);</w:t>
      </w:r>
    </w:p>
    <w:p w:rsidR="002650A6" w:rsidRPr="001945B4" w:rsidRDefault="002650A6" w:rsidP="00A473FF">
      <w:pPr>
        <w:pStyle w:val="Pa17"/>
        <w:numPr>
          <w:ilvl w:val="0"/>
          <w:numId w:val="17"/>
        </w:numPr>
        <w:spacing w:before="40"/>
        <w:jc w:val="both"/>
        <w:rPr>
          <w:rFonts w:ascii="Arial" w:hAnsi="Arial" w:cs="Arial"/>
          <w:sz w:val="22"/>
          <w:szCs w:val="22"/>
        </w:rPr>
      </w:pPr>
      <w:r w:rsidRPr="001945B4">
        <w:rPr>
          <w:rFonts w:ascii="Arial" w:hAnsi="Arial" w:cs="Arial"/>
          <w:sz w:val="22"/>
          <w:szCs w:val="22"/>
        </w:rPr>
        <w:t>Demonstrated need for government funding;</w:t>
      </w:r>
    </w:p>
    <w:p w:rsidR="002650A6" w:rsidRPr="001945B4" w:rsidRDefault="002650A6" w:rsidP="00A473FF">
      <w:pPr>
        <w:pStyle w:val="Pa17"/>
        <w:numPr>
          <w:ilvl w:val="0"/>
          <w:numId w:val="17"/>
        </w:numPr>
        <w:spacing w:before="40"/>
        <w:jc w:val="both"/>
        <w:rPr>
          <w:rFonts w:ascii="Arial" w:hAnsi="Arial" w:cs="Arial"/>
          <w:sz w:val="22"/>
          <w:szCs w:val="22"/>
        </w:rPr>
      </w:pPr>
      <w:r w:rsidRPr="001945B4">
        <w:rPr>
          <w:rFonts w:ascii="Arial" w:hAnsi="Arial" w:cs="Arial"/>
          <w:sz w:val="22"/>
          <w:szCs w:val="22"/>
        </w:rPr>
        <w:t>Realistic and sound budget; and</w:t>
      </w:r>
    </w:p>
    <w:p w:rsidR="002650A6" w:rsidRPr="001945B4" w:rsidRDefault="002650A6" w:rsidP="00A473FF">
      <w:pPr>
        <w:numPr>
          <w:ilvl w:val="0"/>
          <w:numId w:val="17"/>
        </w:numPr>
        <w:rPr>
          <w:rFonts w:ascii="Arial" w:hAnsi="Arial" w:cs="Arial"/>
          <w:sz w:val="22"/>
          <w:szCs w:val="22"/>
        </w:rPr>
      </w:pPr>
      <w:r w:rsidRPr="001945B4">
        <w:rPr>
          <w:rFonts w:ascii="Arial" w:hAnsi="Arial" w:cs="Arial"/>
          <w:sz w:val="22"/>
          <w:szCs w:val="22"/>
        </w:rPr>
        <w:t>Evidence of funding sourced from other funding bodies.</w:t>
      </w:r>
    </w:p>
    <w:p w:rsidR="002650A6" w:rsidRPr="001945B4" w:rsidRDefault="002650A6">
      <w:pPr>
        <w:rPr>
          <w:rFonts w:ascii="Arial" w:hAnsi="Arial" w:cs="Arial"/>
          <w:sz w:val="22"/>
          <w:szCs w:val="22"/>
        </w:rPr>
      </w:pPr>
    </w:p>
    <w:p w:rsidR="002650A6" w:rsidRPr="001945B4" w:rsidRDefault="002650A6" w:rsidP="005D5F21">
      <w:pPr>
        <w:autoSpaceDE w:val="0"/>
        <w:autoSpaceDN w:val="0"/>
        <w:adjustRightInd w:val="0"/>
        <w:spacing w:after="20" w:line="221" w:lineRule="atLeast"/>
        <w:rPr>
          <w:rFonts w:ascii="Arial" w:hAnsi="Arial" w:cs="Arial"/>
          <w:sz w:val="22"/>
          <w:szCs w:val="22"/>
        </w:rPr>
      </w:pPr>
      <w:r w:rsidRPr="001945B4">
        <w:rPr>
          <w:rFonts w:ascii="Arial" w:hAnsi="Arial" w:cs="Arial"/>
          <w:sz w:val="22"/>
          <w:szCs w:val="22"/>
        </w:rPr>
        <w:t>Applicants will be required to complete a</w:t>
      </w:r>
      <w:r w:rsidR="001945B4" w:rsidRPr="001945B4">
        <w:rPr>
          <w:rFonts w:ascii="Arial" w:hAnsi="Arial" w:cs="Arial"/>
          <w:sz w:val="22"/>
          <w:szCs w:val="22"/>
        </w:rPr>
        <w:t xml:space="preserve"> grant funding application when </w:t>
      </w:r>
      <w:r w:rsidRPr="001945B4">
        <w:rPr>
          <w:rFonts w:ascii="Arial" w:hAnsi="Arial" w:cs="Arial"/>
          <w:sz w:val="22"/>
          <w:szCs w:val="22"/>
        </w:rPr>
        <w:t>applying</w:t>
      </w:r>
      <w:r w:rsidR="001945B4" w:rsidRPr="001945B4">
        <w:rPr>
          <w:rFonts w:ascii="Arial" w:hAnsi="Arial" w:cs="Arial"/>
          <w:sz w:val="22"/>
          <w:szCs w:val="22"/>
        </w:rPr>
        <w:t xml:space="preserve"> </w:t>
      </w:r>
      <w:r w:rsidRPr="001945B4">
        <w:rPr>
          <w:rFonts w:ascii="Arial" w:hAnsi="Arial" w:cs="Arial"/>
          <w:sz w:val="22"/>
          <w:szCs w:val="22"/>
        </w:rPr>
        <w:t xml:space="preserve">for funds.  A copy of the grant funding application template is available on the </w:t>
      </w:r>
      <w:proofErr w:type="spellStart"/>
      <w:r w:rsidRPr="001945B4">
        <w:rPr>
          <w:rFonts w:ascii="Arial" w:hAnsi="Arial" w:cs="Arial"/>
          <w:sz w:val="22"/>
          <w:szCs w:val="22"/>
        </w:rPr>
        <w:t>TSRA</w:t>
      </w:r>
      <w:proofErr w:type="spellEnd"/>
      <w:r w:rsidRPr="001945B4">
        <w:rPr>
          <w:rFonts w:ascii="Arial" w:hAnsi="Arial" w:cs="Arial"/>
          <w:sz w:val="22"/>
          <w:szCs w:val="22"/>
        </w:rPr>
        <w:t xml:space="preserve"> website at </w:t>
      </w:r>
      <w:hyperlink r:id="rId10" w:history="1">
        <w:r w:rsidRPr="001945B4">
          <w:rPr>
            <w:rStyle w:val="Hyperlink"/>
            <w:rFonts w:ascii="Arial" w:hAnsi="Arial" w:cs="Arial"/>
            <w:sz w:val="22"/>
            <w:szCs w:val="22"/>
          </w:rPr>
          <w:t>www.tsra.gov.au</w:t>
        </w:r>
      </w:hyperlink>
      <w:r w:rsidR="001945B4" w:rsidRPr="001945B4">
        <w:rPr>
          <w:rFonts w:ascii="Arial" w:hAnsi="Arial" w:cs="Arial"/>
          <w:sz w:val="22"/>
          <w:szCs w:val="22"/>
        </w:rPr>
        <w:t xml:space="preserve"> or by contacting the </w:t>
      </w:r>
      <w:proofErr w:type="spellStart"/>
      <w:r w:rsidRPr="001945B4">
        <w:rPr>
          <w:rFonts w:ascii="Arial" w:hAnsi="Arial" w:cs="Arial"/>
          <w:sz w:val="22"/>
          <w:szCs w:val="22"/>
        </w:rPr>
        <w:t>TSRA</w:t>
      </w:r>
      <w:proofErr w:type="spellEnd"/>
      <w:r w:rsidRPr="001945B4">
        <w:rPr>
          <w:rFonts w:ascii="Arial" w:hAnsi="Arial" w:cs="Arial"/>
          <w:sz w:val="22"/>
          <w:szCs w:val="22"/>
        </w:rPr>
        <w:t xml:space="preserve"> Office on 1800 079 093.</w:t>
      </w:r>
    </w:p>
    <w:p w:rsidR="00A52A2B" w:rsidRDefault="00A52A2B" w:rsidP="00A52A2B">
      <w:pPr>
        <w:rPr>
          <w:rFonts w:ascii="Arial" w:hAnsi="Arial" w:cs="Arial"/>
          <w:b/>
        </w:rPr>
      </w:pPr>
    </w:p>
    <w:p w:rsidR="002650A6" w:rsidRPr="001945B4" w:rsidRDefault="002650A6" w:rsidP="00A52A2B">
      <w:pPr>
        <w:rPr>
          <w:rFonts w:ascii="Arial" w:hAnsi="Arial" w:cs="Arial"/>
          <w:b/>
        </w:rPr>
      </w:pPr>
      <w:r w:rsidRPr="001945B4">
        <w:rPr>
          <w:rFonts w:ascii="Arial" w:hAnsi="Arial" w:cs="Arial"/>
          <w:b/>
        </w:rPr>
        <w:t xml:space="preserve">Explanation of the Assessment Criteria </w:t>
      </w:r>
    </w:p>
    <w:p w:rsidR="002650A6" w:rsidRPr="001945B4" w:rsidRDefault="002650A6" w:rsidP="00A473FF">
      <w:pPr>
        <w:numPr>
          <w:ilvl w:val="0"/>
          <w:numId w:val="18"/>
        </w:numPr>
        <w:autoSpaceDE w:val="0"/>
        <w:autoSpaceDN w:val="0"/>
        <w:adjustRightInd w:val="0"/>
        <w:spacing w:before="220" w:after="20" w:line="221" w:lineRule="atLeast"/>
        <w:jc w:val="both"/>
        <w:rPr>
          <w:rFonts w:ascii="Arial" w:hAnsi="Arial" w:cs="Arial"/>
          <w:sz w:val="22"/>
          <w:szCs w:val="22"/>
        </w:rPr>
      </w:pPr>
      <w:r w:rsidRPr="001945B4">
        <w:rPr>
          <w:rFonts w:ascii="Arial" w:hAnsi="Arial" w:cs="Arial"/>
          <w:sz w:val="22"/>
          <w:szCs w:val="22"/>
        </w:rPr>
        <w:t xml:space="preserve">A high quality project which benefits the local community and aligns to the aims and objectives of the initiatives under the Healthy Communities </w:t>
      </w:r>
      <w:r w:rsidR="00BE7E9F">
        <w:rPr>
          <w:rFonts w:ascii="Arial" w:hAnsi="Arial" w:cs="Arial"/>
          <w:sz w:val="22"/>
          <w:szCs w:val="22"/>
        </w:rPr>
        <w:t>P</w:t>
      </w:r>
      <w:r w:rsidRPr="001945B4">
        <w:rPr>
          <w:rFonts w:ascii="Arial" w:hAnsi="Arial" w:cs="Arial"/>
          <w:sz w:val="22"/>
          <w:szCs w:val="22"/>
        </w:rPr>
        <w:t>rogram</w:t>
      </w:r>
      <w:r w:rsidR="00BE7E9F">
        <w:rPr>
          <w:rFonts w:ascii="Arial" w:hAnsi="Arial" w:cs="Arial"/>
          <w:sz w:val="22"/>
          <w:szCs w:val="22"/>
        </w:rPr>
        <w:t>me;</w:t>
      </w:r>
    </w:p>
    <w:p w:rsidR="002650A6" w:rsidRPr="001945B4" w:rsidRDefault="002650A6" w:rsidP="008C04C8">
      <w:pPr>
        <w:autoSpaceDE w:val="0"/>
        <w:autoSpaceDN w:val="0"/>
        <w:adjustRightInd w:val="0"/>
        <w:spacing w:before="220" w:after="20" w:line="211" w:lineRule="atLeast"/>
        <w:ind w:left="357"/>
        <w:jc w:val="both"/>
        <w:rPr>
          <w:rFonts w:ascii="Arial" w:hAnsi="Arial" w:cs="Arial"/>
          <w:sz w:val="22"/>
          <w:szCs w:val="22"/>
        </w:rPr>
      </w:pPr>
      <w:r w:rsidRPr="001945B4">
        <w:rPr>
          <w:rFonts w:ascii="Arial" w:hAnsi="Arial" w:cs="Arial"/>
          <w:sz w:val="22"/>
          <w:szCs w:val="22"/>
        </w:rPr>
        <w:t>A range of factors will be taken into account when assessing the quality of a project, including how well it has been thought through, the professional skills that are being brought to it, the opportunities and benefits it provides and the outcomes it will achieve. These aspects will be seen in applicant’s descriptions of their program</w:t>
      </w:r>
      <w:r w:rsidR="00BE7E9F">
        <w:rPr>
          <w:rFonts w:ascii="Arial" w:hAnsi="Arial" w:cs="Arial"/>
          <w:sz w:val="22"/>
          <w:szCs w:val="22"/>
        </w:rPr>
        <w:t>me</w:t>
      </w:r>
      <w:r w:rsidRPr="001945B4">
        <w:rPr>
          <w:rFonts w:ascii="Arial" w:hAnsi="Arial" w:cs="Arial"/>
          <w:sz w:val="22"/>
          <w:szCs w:val="22"/>
        </w:rPr>
        <w:t xml:space="preserve"> of activities and outcomes in the application. Applications should clearly demonstrate how the funding sought will directly contribute to the outcomes of the Healthy Communities Program</w:t>
      </w:r>
      <w:r w:rsidR="00BE7E9F">
        <w:rPr>
          <w:rFonts w:ascii="Arial" w:hAnsi="Arial" w:cs="Arial"/>
          <w:sz w:val="22"/>
          <w:szCs w:val="22"/>
        </w:rPr>
        <w:t>me</w:t>
      </w:r>
      <w:r w:rsidRPr="001945B4">
        <w:rPr>
          <w:rFonts w:ascii="Arial" w:hAnsi="Arial" w:cs="Arial"/>
          <w:sz w:val="22"/>
          <w:szCs w:val="22"/>
        </w:rPr>
        <w:t xml:space="preserve">. </w:t>
      </w:r>
    </w:p>
    <w:p w:rsidR="002650A6" w:rsidRPr="001945B4" w:rsidRDefault="002650A6" w:rsidP="00A473FF">
      <w:pPr>
        <w:pStyle w:val="Pa17"/>
        <w:numPr>
          <w:ilvl w:val="0"/>
          <w:numId w:val="18"/>
        </w:numPr>
        <w:spacing w:before="220" w:after="20"/>
        <w:ind w:left="357" w:hanging="357"/>
        <w:jc w:val="both"/>
        <w:rPr>
          <w:rFonts w:ascii="Arial" w:hAnsi="Arial" w:cs="Arial"/>
          <w:sz w:val="22"/>
          <w:szCs w:val="22"/>
        </w:rPr>
      </w:pPr>
      <w:r w:rsidRPr="001945B4">
        <w:rPr>
          <w:rFonts w:ascii="Arial" w:hAnsi="Arial" w:cs="Arial"/>
          <w:sz w:val="22"/>
          <w:szCs w:val="22"/>
        </w:rPr>
        <w:t>Extent to which the proposal contributes to the short and long term benefits of the Healthy Communities Program</w:t>
      </w:r>
      <w:r w:rsidR="00BE7E9F">
        <w:rPr>
          <w:rFonts w:ascii="Arial" w:hAnsi="Arial" w:cs="Arial"/>
          <w:sz w:val="22"/>
          <w:szCs w:val="22"/>
        </w:rPr>
        <w:t>me;</w:t>
      </w:r>
    </w:p>
    <w:p w:rsidR="002650A6" w:rsidRPr="001945B4" w:rsidRDefault="002650A6" w:rsidP="008C04C8">
      <w:pPr>
        <w:autoSpaceDE w:val="0"/>
        <w:autoSpaceDN w:val="0"/>
        <w:adjustRightInd w:val="0"/>
        <w:spacing w:before="220" w:after="20" w:line="211" w:lineRule="atLeast"/>
        <w:ind w:left="357"/>
        <w:jc w:val="both"/>
        <w:rPr>
          <w:rFonts w:ascii="Arial" w:hAnsi="Arial" w:cs="Arial"/>
          <w:sz w:val="22"/>
          <w:szCs w:val="22"/>
        </w:rPr>
      </w:pPr>
      <w:r w:rsidRPr="001945B4">
        <w:rPr>
          <w:rFonts w:ascii="Arial" w:hAnsi="Arial" w:cs="Arial"/>
          <w:sz w:val="22"/>
          <w:szCs w:val="22"/>
        </w:rPr>
        <w:t>Proposed projects should demonstrate that they directly contribute to the relevant short or long term benefits targeted by Healthy Communities Program</w:t>
      </w:r>
      <w:r w:rsidR="00BE7E9F">
        <w:rPr>
          <w:rFonts w:ascii="Arial" w:hAnsi="Arial" w:cs="Arial"/>
          <w:sz w:val="22"/>
          <w:szCs w:val="22"/>
        </w:rPr>
        <w:t>me</w:t>
      </w:r>
      <w:r w:rsidRPr="001945B4">
        <w:rPr>
          <w:rFonts w:ascii="Arial" w:hAnsi="Arial" w:cs="Arial"/>
          <w:sz w:val="22"/>
          <w:szCs w:val="22"/>
        </w:rPr>
        <w:t xml:space="preserve">.  </w:t>
      </w:r>
    </w:p>
    <w:p w:rsidR="002650A6" w:rsidRPr="001945B4" w:rsidRDefault="002650A6" w:rsidP="008C04C8">
      <w:pPr>
        <w:autoSpaceDE w:val="0"/>
        <w:autoSpaceDN w:val="0"/>
        <w:adjustRightInd w:val="0"/>
        <w:spacing w:before="40" w:after="40" w:line="211" w:lineRule="atLeast"/>
        <w:ind w:left="357"/>
        <w:jc w:val="both"/>
        <w:rPr>
          <w:rFonts w:ascii="Arial" w:hAnsi="Arial" w:cs="Arial"/>
          <w:sz w:val="22"/>
          <w:szCs w:val="22"/>
        </w:rPr>
      </w:pPr>
      <w:r w:rsidRPr="001945B4">
        <w:rPr>
          <w:rFonts w:ascii="Arial" w:hAnsi="Arial" w:cs="Arial"/>
          <w:sz w:val="22"/>
          <w:szCs w:val="22"/>
        </w:rPr>
        <w:t>For most applicants this will mean outlining in detail the outcome or benefit the activity intends to achieve.</w:t>
      </w:r>
    </w:p>
    <w:p w:rsidR="002650A6" w:rsidRPr="001945B4" w:rsidRDefault="002650A6" w:rsidP="00A473FF">
      <w:pPr>
        <w:numPr>
          <w:ilvl w:val="0"/>
          <w:numId w:val="18"/>
        </w:numPr>
        <w:autoSpaceDE w:val="0"/>
        <w:autoSpaceDN w:val="0"/>
        <w:adjustRightInd w:val="0"/>
        <w:spacing w:before="220" w:after="20" w:line="221" w:lineRule="atLeast"/>
        <w:ind w:left="357" w:hanging="357"/>
        <w:jc w:val="both"/>
        <w:rPr>
          <w:rFonts w:ascii="Arial" w:hAnsi="Arial" w:cs="Arial"/>
          <w:sz w:val="22"/>
          <w:szCs w:val="22"/>
        </w:rPr>
      </w:pPr>
      <w:r w:rsidRPr="001945B4">
        <w:rPr>
          <w:rFonts w:ascii="Arial" w:hAnsi="Arial" w:cs="Arial"/>
          <w:sz w:val="22"/>
          <w:szCs w:val="22"/>
        </w:rPr>
        <w:t xml:space="preserve">Ability to deliver the proposed project (i.e. track record of organisation and </w:t>
      </w:r>
      <w:r w:rsidR="00BE7E9F">
        <w:rPr>
          <w:rFonts w:ascii="Arial" w:hAnsi="Arial" w:cs="Arial"/>
          <w:sz w:val="22"/>
          <w:szCs w:val="22"/>
        </w:rPr>
        <w:t>individuals);</w:t>
      </w:r>
    </w:p>
    <w:p w:rsidR="002650A6" w:rsidRDefault="002650A6" w:rsidP="008C04C8">
      <w:pPr>
        <w:autoSpaceDE w:val="0"/>
        <w:autoSpaceDN w:val="0"/>
        <w:adjustRightInd w:val="0"/>
        <w:spacing w:before="220" w:after="20" w:line="211" w:lineRule="atLeast"/>
        <w:ind w:left="357"/>
        <w:jc w:val="both"/>
        <w:rPr>
          <w:rFonts w:ascii="Arial" w:hAnsi="Arial" w:cs="Arial"/>
          <w:sz w:val="22"/>
          <w:szCs w:val="22"/>
        </w:rPr>
      </w:pPr>
      <w:r w:rsidRPr="001945B4">
        <w:rPr>
          <w:rFonts w:ascii="Arial" w:hAnsi="Arial" w:cs="Arial"/>
          <w:sz w:val="22"/>
          <w:szCs w:val="22"/>
        </w:rPr>
        <w:t>The skills and experience of each key participant and the track record of the organisation are important ingredients of a successful project or program</w:t>
      </w:r>
      <w:r w:rsidR="00BE7E9F">
        <w:rPr>
          <w:rFonts w:ascii="Arial" w:hAnsi="Arial" w:cs="Arial"/>
          <w:sz w:val="22"/>
          <w:szCs w:val="22"/>
        </w:rPr>
        <w:t>me</w:t>
      </w:r>
      <w:r w:rsidRPr="001945B4">
        <w:rPr>
          <w:rFonts w:ascii="Arial" w:hAnsi="Arial" w:cs="Arial"/>
          <w:sz w:val="22"/>
          <w:szCs w:val="22"/>
        </w:rPr>
        <w:t xml:space="preserve">. Applicants should ensure that the CVs of the key participants and a brief explanation of their roles are included in the submission. </w:t>
      </w:r>
    </w:p>
    <w:p w:rsidR="008C04C8" w:rsidRPr="001945B4" w:rsidRDefault="008C04C8" w:rsidP="008C04C8">
      <w:pPr>
        <w:autoSpaceDE w:val="0"/>
        <w:autoSpaceDN w:val="0"/>
        <w:adjustRightInd w:val="0"/>
        <w:spacing w:before="220" w:after="20" w:line="211" w:lineRule="atLeast"/>
        <w:ind w:left="357"/>
        <w:jc w:val="both"/>
        <w:rPr>
          <w:rFonts w:ascii="Arial" w:hAnsi="Arial" w:cs="Arial"/>
          <w:sz w:val="22"/>
          <w:szCs w:val="22"/>
        </w:rPr>
      </w:pPr>
    </w:p>
    <w:p w:rsidR="002650A6" w:rsidRPr="001945B4" w:rsidRDefault="002650A6" w:rsidP="0096122B">
      <w:pPr>
        <w:numPr>
          <w:ilvl w:val="0"/>
          <w:numId w:val="18"/>
        </w:numPr>
        <w:autoSpaceDE w:val="0"/>
        <w:autoSpaceDN w:val="0"/>
        <w:adjustRightInd w:val="0"/>
        <w:spacing w:before="220" w:after="20" w:line="211" w:lineRule="atLeast"/>
        <w:ind w:left="357" w:hanging="357"/>
        <w:jc w:val="both"/>
        <w:rPr>
          <w:rFonts w:ascii="Arial" w:hAnsi="Arial" w:cs="Arial"/>
          <w:sz w:val="22"/>
          <w:szCs w:val="22"/>
        </w:rPr>
      </w:pPr>
      <w:r w:rsidRPr="001945B4">
        <w:rPr>
          <w:rFonts w:ascii="Arial" w:hAnsi="Arial" w:cs="Arial"/>
          <w:sz w:val="22"/>
          <w:szCs w:val="22"/>
        </w:rPr>
        <w:lastRenderedPageBreak/>
        <w:t>Demonstrated need for government funding</w:t>
      </w:r>
      <w:r w:rsidR="00BE7E9F">
        <w:rPr>
          <w:rFonts w:ascii="Arial" w:hAnsi="Arial" w:cs="Arial"/>
          <w:sz w:val="22"/>
          <w:szCs w:val="22"/>
        </w:rPr>
        <w:t>;</w:t>
      </w:r>
    </w:p>
    <w:p w:rsidR="002650A6" w:rsidRDefault="002650A6" w:rsidP="008C04C8">
      <w:pPr>
        <w:autoSpaceDE w:val="0"/>
        <w:autoSpaceDN w:val="0"/>
        <w:adjustRightInd w:val="0"/>
        <w:spacing w:before="220" w:after="20" w:line="221" w:lineRule="atLeast"/>
        <w:ind w:left="357"/>
        <w:jc w:val="both"/>
        <w:rPr>
          <w:rFonts w:ascii="Arial" w:hAnsi="Arial" w:cs="Arial"/>
          <w:sz w:val="22"/>
          <w:szCs w:val="22"/>
        </w:rPr>
      </w:pPr>
      <w:r w:rsidRPr="001945B4">
        <w:rPr>
          <w:rFonts w:ascii="Arial" w:hAnsi="Arial" w:cs="Arial"/>
          <w:sz w:val="22"/>
          <w:szCs w:val="22"/>
        </w:rPr>
        <w:t>Given the strong demand for support under the Healthy Communities Program</w:t>
      </w:r>
      <w:r w:rsidR="00BE7E9F">
        <w:rPr>
          <w:rFonts w:ascii="Arial" w:hAnsi="Arial" w:cs="Arial"/>
          <w:sz w:val="22"/>
          <w:szCs w:val="22"/>
        </w:rPr>
        <w:t>me</w:t>
      </w:r>
      <w:r w:rsidRPr="001945B4">
        <w:rPr>
          <w:rFonts w:ascii="Arial" w:hAnsi="Arial" w:cs="Arial"/>
          <w:sz w:val="22"/>
          <w:szCs w:val="22"/>
        </w:rPr>
        <w:t xml:space="preserve">, it is important that funding supports projects that will both achieve quality outcomes in line with </w:t>
      </w:r>
      <w:r w:rsidR="00BE7E9F">
        <w:rPr>
          <w:rFonts w:ascii="Arial" w:hAnsi="Arial" w:cs="Arial"/>
          <w:sz w:val="22"/>
          <w:szCs w:val="22"/>
        </w:rPr>
        <w:t>the aims and objectives of the P</w:t>
      </w:r>
      <w:r w:rsidRPr="001945B4">
        <w:rPr>
          <w:rFonts w:ascii="Arial" w:hAnsi="Arial" w:cs="Arial"/>
          <w:sz w:val="22"/>
          <w:szCs w:val="22"/>
        </w:rPr>
        <w:t>rogram</w:t>
      </w:r>
      <w:r w:rsidR="00BE7E9F">
        <w:rPr>
          <w:rFonts w:ascii="Arial" w:hAnsi="Arial" w:cs="Arial"/>
          <w:sz w:val="22"/>
          <w:szCs w:val="22"/>
        </w:rPr>
        <w:t>me</w:t>
      </w:r>
      <w:r w:rsidRPr="001945B4">
        <w:rPr>
          <w:rFonts w:ascii="Arial" w:hAnsi="Arial" w:cs="Arial"/>
          <w:sz w:val="22"/>
          <w:szCs w:val="22"/>
        </w:rPr>
        <w:t xml:space="preserve">, and would not be able to happen without government support. </w:t>
      </w:r>
    </w:p>
    <w:p w:rsidR="001C418C" w:rsidRDefault="002650A6" w:rsidP="001C418C">
      <w:pPr>
        <w:numPr>
          <w:ilvl w:val="0"/>
          <w:numId w:val="18"/>
        </w:numPr>
        <w:autoSpaceDE w:val="0"/>
        <w:autoSpaceDN w:val="0"/>
        <w:adjustRightInd w:val="0"/>
        <w:spacing w:before="220" w:after="20" w:line="221" w:lineRule="atLeast"/>
        <w:ind w:left="357" w:hanging="357"/>
        <w:jc w:val="both"/>
        <w:rPr>
          <w:rFonts w:ascii="Arial" w:hAnsi="Arial" w:cs="Arial"/>
          <w:sz w:val="22"/>
          <w:szCs w:val="22"/>
        </w:rPr>
      </w:pPr>
      <w:r w:rsidRPr="001945B4">
        <w:rPr>
          <w:rFonts w:ascii="Arial" w:hAnsi="Arial" w:cs="Arial"/>
          <w:sz w:val="22"/>
          <w:szCs w:val="22"/>
        </w:rPr>
        <w:t>Realistic and sound budget</w:t>
      </w:r>
      <w:r w:rsidR="00BE7E9F">
        <w:rPr>
          <w:rFonts w:ascii="Arial" w:hAnsi="Arial" w:cs="Arial"/>
          <w:sz w:val="22"/>
          <w:szCs w:val="22"/>
        </w:rPr>
        <w:t>;</w:t>
      </w:r>
      <w:r w:rsidR="001C418C">
        <w:rPr>
          <w:rFonts w:ascii="Arial" w:hAnsi="Arial" w:cs="Arial"/>
          <w:sz w:val="22"/>
          <w:szCs w:val="22"/>
        </w:rPr>
        <w:t xml:space="preserve"> and</w:t>
      </w:r>
    </w:p>
    <w:p w:rsidR="001C418C" w:rsidRPr="001C418C" w:rsidRDefault="00AF2A13" w:rsidP="001C418C">
      <w:pPr>
        <w:numPr>
          <w:ilvl w:val="0"/>
          <w:numId w:val="18"/>
        </w:numPr>
        <w:autoSpaceDE w:val="0"/>
        <w:autoSpaceDN w:val="0"/>
        <w:adjustRightInd w:val="0"/>
        <w:spacing w:before="220" w:after="20" w:line="221" w:lineRule="atLeast"/>
        <w:ind w:left="357" w:hanging="357"/>
        <w:jc w:val="both"/>
        <w:rPr>
          <w:rFonts w:ascii="Arial" w:hAnsi="Arial" w:cs="Arial"/>
          <w:sz w:val="22"/>
          <w:szCs w:val="22"/>
        </w:rPr>
      </w:pPr>
      <w:r w:rsidRPr="001C418C">
        <w:rPr>
          <w:rFonts w:ascii="Arial" w:hAnsi="Arial" w:cs="Arial"/>
          <w:sz w:val="22"/>
          <w:szCs w:val="22"/>
        </w:rPr>
        <w:t>Evidence that an attempt at sourcing funding from other funding bodies relevant to the project has been undertaken.</w:t>
      </w:r>
      <w:r w:rsidR="00C90AB4" w:rsidRPr="001C418C">
        <w:rPr>
          <w:rFonts w:ascii="Arial" w:hAnsi="Arial" w:cs="Arial"/>
          <w:sz w:val="22"/>
          <w:szCs w:val="22"/>
        </w:rPr>
        <w:t xml:space="preserve">  </w:t>
      </w:r>
    </w:p>
    <w:p w:rsidR="002650A6" w:rsidRPr="001945B4" w:rsidRDefault="002650A6" w:rsidP="008C04C8">
      <w:pPr>
        <w:autoSpaceDE w:val="0"/>
        <w:autoSpaceDN w:val="0"/>
        <w:adjustRightInd w:val="0"/>
        <w:spacing w:before="220" w:after="20" w:line="211" w:lineRule="atLeast"/>
        <w:ind w:left="357"/>
        <w:jc w:val="both"/>
        <w:rPr>
          <w:rFonts w:ascii="Arial" w:hAnsi="Arial" w:cs="Arial"/>
          <w:sz w:val="22"/>
          <w:szCs w:val="22"/>
        </w:rPr>
      </w:pPr>
      <w:r w:rsidRPr="001945B4">
        <w:rPr>
          <w:rFonts w:ascii="Arial" w:hAnsi="Arial" w:cs="Arial"/>
          <w:sz w:val="22"/>
          <w:szCs w:val="22"/>
        </w:rPr>
        <w:t xml:space="preserve">Applicants will need to complete the budget pro-forma which is part of the grant funding application template. It is important to ensure that proposed budgets are accurate, clear, reasonable and readily supported by evidence. </w:t>
      </w:r>
    </w:p>
    <w:p w:rsidR="002650A6" w:rsidRPr="001945B4" w:rsidRDefault="002650A6" w:rsidP="00BC307B">
      <w:pPr>
        <w:pStyle w:val="Heading3"/>
        <w:jc w:val="both"/>
      </w:pPr>
      <w:r w:rsidRPr="001945B4">
        <w:t>Performance Measures, Evaluation</w:t>
      </w:r>
    </w:p>
    <w:p w:rsidR="002650A6" w:rsidRPr="001945B4" w:rsidRDefault="002650A6" w:rsidP="00C8105B">
      <w:pPr>
        <w:pStyle w:val="Heading3"/>
        <w:jc w:val="both"/>
        <w:rPr>
          <w:b w:val="0"/>
          <w:sz w:val="22"/>
          <w:szCs w:val="22"/>
        </w:rPr>
      </w:pPr>
      <w:r w:rsidRPr="001945B4">
        <w:rPr>
          <w:b w:val="0"/>
          <w:sz w:val="22"/>
          <w:szCs w:val="22"/>
        </w:rPr>
        <w:t>Performance measures will be program</w:t>
      </w:r>
      <w:r w:rsidR="00BE7E9F">
        <w:rPr>
          <w:b w:val="0"/>
          <w:sz w:val="22"/>
          <w:szCs w:val="22"/>
        </w:rPr>
        <w:t>me</w:t>
      </w:r>
      <w:r w:rsidRPr="001945B4">
        <w:rPr>
          <w:b w:val="0"/>
          <w:sz w:val="22"/>
          <w:szCs w:val="22"/>
        </w:rPr>
        <w:t xml:space="preserve"> specific and selected from the following:</w:t>
      </w:r>
    </w:p>
    <w:p w:rsidR="002650A6" w:rsidRPr="00BD6F9E" w:rsidRDefault="00BD6F9E" w:rsidP="001945B4">
      <w:pPr>
        <w:numPr>
          <w:ilvl w:val="0"/>
          <w:numId w:val="15"/>
        </w:numPr>
        <w:spacing w:before="120"/>
        <w:jc w:val="both"/>
        <w:rPr>
          <w:rFonts w:ascii="Arial" w:hAnsi="Arial" w:cs="Arial"/>
          <w:sz w:val="22"/>
        </w:rPr>
      </w:pPr>
      <w:r>
        <w:rPr>
          <w:rFonts w:ascii="Arial" w:hAnsi="Arial" w:cs="Arial"/>
          <w:sz w:val="22"/>
          <w:szCs w:val="22"/>
        </w:rPr>
        <w:t>Increased investment into new and existing regional environmental health infrastructure.</w:t>
      </w:r>
    </w:p>
    <w:p w:rsidR="00BD6F9E" w:rsidRPr="00A52A2B" w:rsidRDefault="00BD6F9E" w:rsidP="001945B4">
      <w:pPr>
        <w:numPr>
          <w:ilvl w:val="0"/>
          <w:numId w:val="15"/>
        </w:numPr>
        <w:spacing w:before="120"/>
        <w:jc w:val="both"/>
        <w:rPr>
          <w:rFonts w:ascii="Arial" w:hAnsi="Arial" w:cs="Arial"/>
          <w:sz w:val="22"/>
        </w:rPr>
      </w:pPr>
      <w:r>
        <w:rPr>
          <w:rFonts w:ascii="Arial" w:hAnsi="Arial" w:cs="Arial"/>
          <w:sz w:val="22"/>
          <w:szCs w:val="22"/>
        </w:rPr>
        <w:t xml:space="preserve">Increased access to fresh and affordable foods in Torres Strait </w:t>
      </w:r>
      <w:r w:rsidR="00A52A2B">
        <w:rPr>
          <w:rFonts w:ascii="Arial" w:hAnsi="Arial" w:cs="Arial"/>
          <w:sz w:val="22"/>
          <w:szCs w:val="22"/>
        </w:rPr>
        <w:t>communities.</w:t>
      </w:r>
    </w:p>
    <w:p w:rsidR="00A52A2B" w:rsidRPr="00A52A2B" w:rsidRDefault="00A52A2B" w:rsidP="001945B4">
      <w:pPr>
        <w:numPr>
          <w:ilvl w:val="0"/>
          <w:numId w:val="15"/>
        </w:numPr>
        <w:spacing w:before="120"/>
        <w:jc w:val="both"/>
        <w:rPr>
          <w:rFonts w:ascii="Arial" w:hAnsi="Arial" w:cs="Arial"/>
          <w:sz w:val="22"/>
        </w:rPr>
      </w:pPr>
      <w:r>
        <w:rPr>
          <w:rFonts w:ascii="Arial" w:hAnsi="Arial" w:cs="Arial"/>
          <w:sz w:val="22"/>
          <w:szCs w:val="22"/>
        </w:rPr>
        <w:t>Increase in participation in structured sport, recreation and healthy lifestyle activities.</w:t>
      </w:r>
      <w:r w:rsidR="00AF2A13">
        <w:rPr>
          <w:rFonts w:ascii="Arial" w:hAnsi="Arial" w:cs="Arial"/>
          <w:sz w:val="22"/>
          <w:szCs w:val="22"/>
        </w:rPr>
        <w:t xml:space="preserve"> (</w:t>
      </w:r>
      <w:proofErr w:type="spellStart"/>
      <w:r w:rsidR="00AF2A13">
        <w:rPr>
          <w:rFonts w:ascii="Arial" w:hAnsi="Arial" w:cs="Arial"/>
          <w:sz w:val="22"/>
          <w:szCs w:val="22"/>
        </w:rPr>
        <w:t>TSRA</w:t>
      </w:r>
      <w:proofErr w:type="spellEnd"/>
      <w:r w:rsidR="00AF2A13">
        <w:rPr>
          <w:rFonts w:ascii="Arial" w:hAnsi="Arial" w:cs="Arial"/>
          <w:sz w:val="22"/>
          <w:szCs w:val="22"/>
        </w:rPr>
        <w:t xml:space="preserve"> does not directly fund sport and recreation grants. Please contact the Torres Strait Youth and Recreation Sporting Association</w:t>
      </w:r>
      <w:r w:rsidR="00BE7E9F">
        <w:rPr>
          <w:rFonts w:ascii="Arial" w:hAnsi="Arial" w:cs="Arial"/>
          <w:sz w:val="22"/>
          <w:szCs w:val="22"/>
        </w:rPr>
        <w:t xml:space="preserve"> on 07 4069 2484 for grant funding information</w:t>
      </w:r>
      <w:r w:rsidR="00AF2A13">
        <w:rPr>
          <w:rFonts w:ascii="Arial" w:hAnsi="Arial" w:cs="Arial"/>
          <w:sz w:val="22"/>
          <w:szCs w:val="22"/>
        </w:rPr>
        <w:t>).</w:t>
      </w:r>
    </w:p>
    <w:p w:rsidR="00A52A2B" w:rsidRPr="001945B4" w:rsidRDefault="00A52A2B" w:rsidP="001945B4">
      <w:pPr>
        <w:numPr>
          <w:ilvl w:val="0"/>
          <w:numId w:val="15"/>
        </w:numPr>
        <w:spacing w:before="120"/>
        <w:jc w:val="both"/>
        <w:rPr>
          <w:rFonts w:ascii="Arial" w:hAnsi="Arial" w:cs="Arial"/>
          <w:sz w:val="22"/>
        </w:rPr>
      </w:pPr>
      <w:r>
        <w:rPr>
          <w:rFonts w:ascii="Arial" w:hAnsi="Arial" w:cs="Arial"/>
          <w:sz w:val="22"/>
          <w:szCs w:val="22"/>
        </w:rPr>
        <w:t>Increase in serviced land and infrastructure to support housing for Torres Strait Islander and Aboriginal people.</w:t>
      </w:r>
    </w:p>
    <w:p w:rsidR="002650A6" w:rsidRPr="001945B4" w:rsidRDefault="002650A6" w:rsidP="00C8105B">
      <w:pPr>
        <w:jc w:val="both"/>
        <w:rPr>
          <w:rFonts w:ascii="Arial" w:hAnsi="Arial" w:cs="Arial"/>
        </w:rPr>
      </w:pPr>
    </w:p>
    <w:p w:rsidR="002650A6" w:rsidRPr="001945B4" w:rsidRDefault="002650A6" w:rsidP="00C8105B">
      <w:pPr>
        <w:jc w:val="both"/>
        <w:rPr>
          <w:rFonts w:ascii="Arial" w:hAnsi="Arial" w:cs="Arial"/>
          <w:sz w:val="22"/>
        </w:rPr>
      </w:pPr>
      <w:r w:rsidRPr="001945B4">
        <w:rPr>
          <w:rFonts w:ascii="Arial" w:hAnsi="Arial" w:cs="Arial"/>
          <w:sz w:val="22"/>
        </w:rPr>
        <w:t xml:space="preserve">The </w:t>
      </w:r>
      <w:proofErr w:type="spellStart"/>
      <w:r w:rsidRPr="001945B4">
        <w:rPr>
          <w:rFonts w:ascii="Arial" w:hAnsi="Arial" w:cs="Arial"/>
          <w:sz w:val="22"/>
        </w:rPr>
        <w:t>TSRA</w:t>
      </w:r>
      <w:proofErr w:type="spellEnd"/>
      <w:r w:rsidRPr="001945B4">
        <w:rPr>
          <w:rFonts w:ascii="Arial" w:hAnsi="Arial" w:cs="Arial"/>
          <w:sz w:val="22"/>
        </w:rPr>
        <w:t xml:space="preserve"> may conduct an evaluation of the project after its completion to measure its contribution to the targeted benefits under the Healthy Communities </w:t>
      </w:r>
      <w:r w:rsidR="00BE7E9F">
        <w:rPr>
          <w:rFonts w:ascii="Arial" w:hAnsi="Arial" w:cs="Arial"/>
          <w:sz w:val="22"/>
        </w:rPr>
        <w:t>P</w:t>
      </w:r>
      <w:r w:rsidRPr="001945B4">
        <w:rPr>
          <w:rFonts w:ascii="Arial" w:hAnsi="Arial" w:cs="Arial"/>
          <w:sz w:val="22"/>
        </w:rPr>
        <w:t>rogram</w:t>
      </w:r>
      <w:r w:rsidR="00BE7E9F">
        <w:rPr>
          <w:rFonts w:ascii="Arial" w:hAnsi="Arial" w:cs="Arial"/>
          <w:sz w:val="22"/>
        </w:rPr>
        <w:t>me</w:t>
      </w:r>
      <w:r w:rsidRPr="001945B4">
        <w:rPr>
          <w:rFonts w:ascii="Arial" w:hAnsi="Arial" w:cs="Arial"/>
          <w:sz w:val="22"/>
        </w:rPr>
        <w:t>.</w:t>
      </w:r>
    </w:p>
    <w:p w:rsidR="002650A6" w:rsidRPr="001945B4" w:rsidRDefault="002650A6" w:rsidP="00FF2845">
      <w:pPr>
        <w:pBdr>
          <w:bottom w:val="single" w:sz="4" w:space="1" w:color="auto"/>
        </w:pBdr>
        <w:jc w:val="both"/>
        <w:rPr>
          <w:rFonts w:ascii="Arial" w:hAnsi="Arial" w:cs="Arial"/>
        </w:rPr>
      </w:pPr>
    </w:p>
    <w:p w:rsidR="002650A6" w:rsidRPr="001945B4" w:rsidRDefault="002650A6" w:rsidP="009147FC">
      <w:pPr>
        <w:pStyle w:val="Heading2"/>
        <w:rPr>
          <w:b w:val="0"/>
          <w:sz w:val="26"/>
          <w:szCs w:val="26"/>
        </w:rPr>
      </w:pPr>
      <w:r w:rsidRPr="001945B4">
        <w:rPr>
          <w:sz w:val="26"/>
          <w:szCs w:val="26"/>
        </w:rPr>
        <w:t xml:space="preserve">Part B – Administrative Information </w:t>
      </w:r>
    </w:p>
    <w:p w:rsidR="002650A6" w:rsidRPr="001945B4" w:rsidRDefault="002650A6" w:rsidP="00C8105B">
      <w:pPr>
        <w:pStyle w:val="Heading3"/>
        <w:jc w:val="both"/>
        <w:rPr>
          <w:sz w:val="24"/>
        </w:rPr>
      </w:pPr>
      <w:r w:rsidRPr="001945B4">
        <w:rPr>
          <w:sz w:val="24"/>
        </w:rPr>
        <w:t>Late applications</w:t>
      </w:r>
    </w:p>
    <w:p w:rsidR="002650A6" w:rsidRPr="001945B4" w:rsidRDefault="002650A6" w:rsidP="00C8105B">
      <w:pPr>
        <w:pStyle w:val="Pa7"/>
        <w:spacing w:before="40" w:after="40"/>
        <w:jc w:val="both"/>
        <w:rPr>
          <w:rFonts w:ascii="Arial" w:hAnsi="Arial" w:cs="Arial"/>
          <w:sz w:val="22"/>
        </w:rPr>
      </w:pPr>
      <w:r w:rsidRPr="001945B4">
        <w:rPr>
          <w:rFonts w:ascii="Arial" w:hAnsi="Arial" w:cs="Arial"/>
          <w:sz w:val="22"/>
        </w:rPr>
        <w:t xml:space="preserve">Late applications will be considered only in exceptional circumstances. These will be determined on a case-by-case basis by the </w:t>
      </w:r>
      <w:proofErr w:type="spellStart"/>
      <w:r w:rsidRPr="001945B4">
        <w:rPr>
          <w:rFonts w:ascii="Arial" w:hAnsi="Arial" w:cs="Arial"/>
          <w:sz w:val="22"/>
        </w:rPr>
        <w:t>TSRA</w:t>
      </w:r>
      <w:proofErr w:type="spellEnd"/>
      <w:r w:rsidRPr="001945B4">
        <w:rPr>
          <w:rFonts w:ascii="Arial" w:hAnsi="Arial" w:cs="Arial"/>
          <w:sz w:val="22"/>
        </w:rPr>
        <w:t>. Where there are unforeseen circumstances that prevent you from getting your application to u</w:t>
      </w:r>
      <w:r w:rsidR="00BE0394">
        <w:rPr>
          <w:rFonts w:ascii="Arial" w:hAnsi="Arial" w:cs="Arial"/>
          <w:sz w:val="22"/>
        </w:rPr>
        <w:t xml:space="preserve">s on time, you should contact the </w:t>
      </w:r>
      <w:proofErr w:type="spellStart"/>
      <w:r w:rsidR="00BE0394">
        <w:rPr>
          <w:rFonts w:ascii="Arial" w:hAnsi="Arial" w:cs="Arial"/>
          <w:sz w:val="22"/>
        </w:rPr>
        <w:t>TSRA</w:t>
      </w:r>
      <w:proofErr w:type="spellEnd"/>
      <w:r w:rsidR="00BE0394">
        <w:rPr>
          <w:rFonts w:ascii="Arial" w:hAnsi="Arial" w:cs="Arial"/>
          <w:sz w:val="22"/>
        </w:rPr>
        <w:t xml:space="preserve"> Contract Officer</w:t>
      </w:r>
      <w:r w:rsidRPr="001945B4">
        <w:rPr>
          <w:rFonts w:ascii="Arial" w:hAnsi="Arial" w:cs="Arial"/>
          <w:sz w:val="22"/>
        </w:rPr>
        <w:t xml:space="preserve"> as soon as possible by phone</w:t>
      </w:r>
      <w:r w:rsidR="00BE7E9F">
        <w:rPr>
          <w:rFonts w:ascii="Arial" w:hAnsi="Arial" w:cs="Arial"/>
          <w:sz w:val="22"/>
        </w:rPr>
        <w:t>,</w:t>
      </w:r>
      <w:r w:rsidRPr="001945B4">
        <w:rPr>
          <w:rFonts w:ascii="Arial" w:hAnsi="Arial" w:cs="Arial"/>
          <w:sz w:val="22"/>
        </w:rPr>
        <w:t xml:space="preserve"> </w:t>
      </w:r>
      <w:r w:rsidR="00BE7E9F">
        <w:rPr>
          <w:rFonts w:ascii="Arial" w:hAnsi="Arial" w:cs="Arial"/>
          <w:sz w:val="22"/>
        </w:rPr>
        <w:t xml:space="preserve">on 07 4069 0700, </w:t>
      </w:r>
      <w:r w:rsidRPr="001945B4">
        <w:rPr>
          <w:rFonts w:ascii="Arial" w:hAnsi="Arial" w:cs="Arial"/>
          <w:sz w:val="22"/>
        </w:rPr>
        <w:t>or email</w:t>
      </w:r>
      <w:r w:rsidR="00BE7E9F">
        <w:rPr>
          <w:rFonts w:ascii="Arial" w:hAnsi="Arial" w:cs="Arial"/>
          <w:sz w:val="22"/>
        </w:rPr>
        <w:t xml:space="preserve">, </w:t>
      </w:r>
      <w:hyperlink r:id="rId11" w:history="1">
        <w:r w:rsidR="00BE0394" w:rsidRPr="00BE0394">
          <w:rPr>
            <w:rStyle w:val="Hyperlink"/>
            <w:rFonts w:ascii="Arial" w:hAnsi="Arial" w:cs="Arial"/>
            <w:sz w:val="22"/>
            <w:szCs w:val="22"/>
          </w:rPr>
          <w:t>grantapplications@tsra.gov.au</w:t>
        </w:r>
      </w:hyperlink>
      <w:r w:rsidR="00BE7E9F" w:rsidRPr="00BE0394">
        <w:rPr>
          <w:rFonts w:ascii="Arial" w:hAnsi="Arial" w:cs="Arial"/>
          <w:sz w:val="22"/>
        </w:rPr>
        <w:t>,</w:t>
      </w:r>
      <w:r w:rsidR="00BE7E9F">
        <w:rPr>
          <w:rFonts w:ascii="Arial" w:hAnsi="Arial" w:cs="Arial"/>
          <w:sz w:val="22"/>
        </w:rPr>
        <w:t xml:space="preserve"> </w:t>
      </w:r>
      <w:r w:rsidR="003A3039">
        <w:rPr>
          <w:rFonts w:ascii="Arial" w:hAnsi="Arial" w:cs="Arial"/>
          <w:sz w:val="22"/>
          <w:szCs w:val="22"/>
        </w:rPr>
        <w:t>before the closing of the grant round.</w:t>
      </w:r>
      <w:bookmarkStart w:id="0" w:name="_GoBack"/>
      <w:bookmarkEnd w:id="0"/>
      <w:r w:rsidRPr="001945B4">
        <w:rPr>
          <w:rFonts w:ascii="Arial" w:hAnsi="Arial" w:cs="Arial"/>
          <w:sz w:val="22"/>
        </w:rPr>
        <w:t xml:space="preserve"> You should confirm the unforeseen circumstances briefly in writing as part of your submission.</w:t>
      </w:r>
    </w:p>
    <w:p w:rsidR="002650A6" w:rsidRPr="00467AEC" w:rsidRDefault="002650A6" w:rsidP="00C8105B">
      <w:pPr>
        <w:pStyle w:val="Heading3"/>
        <w:jc w:val="both"/>
        <w:rPr>
          <w:b w:val="0"/>
          <w:sz w:val="22"/>
          <w:szCs w:val="22"/>
        </w:rPr>
      </w:pPr>
      <w:r w:rsidRPr="00467AEC">
        <w:rPr>
          <w:b w:val="0"/>
          <w:sz w:val="22"/>
          <w:szCs w:val="22"/>
        </w:rPr>
        <w:t xml:space="preserve">Prior notification of the late submission and the reason for late submission will be taken into account in determining whether the submission will be accepted. </w:t>
      </w:r>
    </w:p>
    <w:p w:rsidR="002650A6" w:rsidRPr="001945B4" w:rsidRDefault="002650A6" w:rsidP="00C8105B">
      <w:pPr>
        <w:pStyle w:val="Heading3"/>
        <w:jc w:val="both"/>
        <w:rPr>
          <w:sz w:val="24"/>
        </w:rPr>
      </w:pPr>
      <w:r w:rsidRPr="001945B4">
        <w:rPr>
          <w:sz w:val="24"/>
        </w:rPr>
        <w:t>Funding Allocation</w:t>
      </w:r>
    </w:p>
    <w:p w:rsidR="002650A6" w:rsidRPr="001945B4" w:rsidRDefault="002650A6" w:rsidP="00C8105B">
      <w:pPr>
        <w:jc w:val="both"/>
        <w:rPr>
          <w:rFonts w:ascii="Arial" w:hAnsi="Arial" w:cs="Arial"/>
          <w:i/>
          <w:sz w:val="22"/>
        </w:rPr>
      </w:pPr>
      <w:r w:rsidRPr="001945B4">
        <w:rPr>
          <w:rFonts w:ascii="Arial" w:hAnsi="Arial" w:cs="Arial"/>
          <w:sz w:val="22"/>
        </w:rPr>
        <w:t xml:space="preserve">The </w:t>
      </w:r>
      <w:proofErr w:type="spellStart"/>
      <w:r w:rsidRPr="001945B4">
        <w:rPr>
          <w:rFonts w:ascii="Arial" w:hAnsi="Arial" w:cs="Arial"/>
          <w:sz w:val="22"/>
        </w:rPr>
        <w:t>TSRA</w:t>
      </w:r>
      <w:proofErr w:type="spellEnd"/>
      <w:r w:rsidRPr="001945B4">
        <w:rPr>
          <w:rFonts w:ascii="Arial" w:hAnsi="Arial" w:cs="Arial"/>
          <w:sz w:val="22"/>
        </w:rPr>
        <w:t xml:space="preserve"> may approve less funding than requested in an application, or approve an application in part. If this occurs, the </w:t>
      </w:r>
      <w:proofErr w:type="spellStart"/>
      <w:r w:rsidRPr="001945B4">
        <w:rPr>
          <w:rFonts w:ascii="Arial" w:hAnsi="Arial" w:cs="Arial"/>
          <w:sz w:val="22"/>
        </w:rPr>
        <w:t>TSRA</w:t>
      </w:r>
      <w:proofErr w:type="spellEnd"/>
      <w:r w:rsidRPr="001945B4">
        <w:rPr>
          <w:rFonts w:ascii="Arial" w:hAnsi="Arial" w:cs="Arial"/>
          <w:sz w:val="22"/>
        </w:rPr>
        <w:t xml:space="preserve"> will work with you to revise your project’s objectives, activities and budget. </w:t>
      </w:r>
    </w:p>
    <w:p w:rsidR="002650A6" w:rsidRPr="001945B4" w:rsidRDefault="002650A6" w:rsidP="00C8105B">
      <w:pPr>
        <w:pStyle w:val="Heading3"/>
        <w:jc w:val="both"/>
        <w:rPr>
          <w:sz w:val="24"/>
        </w:rPr>
      </w:pPr>
      <w:r w:rsidRPr="001945B4">
        <w:rPr>
          <w:sz w:val="24"/>
        </w:rPr>
        <w:lastRenderedPageBreak/>
        <w:t>Funding Agreements</w:t>
      </w:r>
    </w:p>
    <w:p w:rsidR="002650A6" w:rsidRPr="001945B4" w:rsidRDefault="002650A6" w:rsidP="00C8105B">
      <w:pPr>
        <w:jc w:val="both"/>
        <w:rPr>
          <w:rFonts w:ascii="Arial" w:hAnsi="Arial" w:cs="Arial"/>
          <w:sz w:val="22"/>
        </w:rPr>
      </w:pPr>
      <w:r w:rsidRPr="001945B4">
        <w:rPr>
          <w:rFonts w:ascii="Arial" w:hAnsi="Arial" w:cs="Arial"/>
          <w:sz w:val="22"/>
        </w:rPr>
        <w:t xml:space="preserve">The </w:t>
      </w:r>
      <w:proofErr w:type="spellStart"/>
      <w:r w:rsidRPr="001945B4">
        <w:rPr>
          <w:rFonts w:ascii="Arial" w:hAnsi="Arial" w:cs="Arial"/>
          <w:sz w:val="22"/>
        </w:rPr>
        <w:t>TSRA</w:t>
      </w:r>
      <w:proofErr w:type="spellEnd"/>
      <w:r w:rsidRPr="001945B4">
        <w:rPr>
          <w:rFonts w:ascii="Arial" w:hAnsi="Arial" w:cs="Arial"/>
          <w:sz w:val="22"/>
        </w:rPr>
        <w:t xml:space="preserve"> will issue the Standard Commonwealth Government Program</w:t>
      </w:r>
      <w:r w:rsidR="00BE7E9F">
        <w:rPr>
          <w:rFonts w:ascii="Arial" w:hAnsi="Arial" w:cs="Arial"/>
          <w:sz w:val="22"/>
        </w:rPr>
        <w:t>me</w:t>
      </w:r>
      <w:r w:rsidRPr="001945B4">
        <w:rPr>
          <w:rFonts w:ascii="Arial" w:hAnsi="Arial" w:cs="Arial"/>
          <w:sz w:val="22"/>
        </w:rPr>
        <w:t xml:space="preserve"> Funding Agreement (</w:t>
      </w:r>
      <w:proofErr w:type="spellStart"/>
      <w:r w:rsidRPr="001945B4">
        <w:rPr>
          <w:rFonts w:ascii="Arial" w:hAnsi="Arial" w:cs="Arial"/>
          <w:sz w:val="22"/>
        </w:rPr>
        <w:t>PFA</w:t>
      </w:r>
      <w:proofErr w:type="spellEnd"/>
      <w:r w:rsidRPr="001945B4">
        <w:rPr>
          <w:rFonts w:ascii="Arial" w:hAnsi="Arial" w:cs="Arial"/>
          <w:sz w:val="22"/>
        </w:rPr>
        <w:t xml:space="preserve">). </w:t>
      </w:r>
    </w:p>
    <w:p w:rsidR="002650A6" w:rsidRPr="001945B4" w:rsidRDefault="002650A6" w:rsidP="00C8105B">
      <w:pPr>
        <w:pStyle w:val="Heading3"/>
        <w:jc w:val="both"/>
        <w:rPr>
          <w:sz w:val="24"/>
        </w:rPr>
      </w:pPr>
      <w:r w:rsidRPr="001945B4">
        <w:rPr>
          <w:sz w:val="24"/>
        </w:rPr>
        <w:t>Payments</w:t>
      </w:r>
    </w:p>
    <w:p w:rsidR="002650A6" w:rsidRPr="001945B4" w:rsidRDefault="002650A6" w:rsidP="00C8105B">
      <w:pPr>
        <w:pStyle w:val="Pa7"/>
        <w:spacing w:before="40" w:after="40"/>
        <w:jc w:val="both"/>
        <w:rPr>
          <w:rFonts w:ascii="Arial" w:hAnsi="Arial" w:cs="Arial"/>
          <w:sz w:val="22"/>
        </w:rPr>
      </w:pPr>
      <w:r w:rsidRPr="001945B4">
        <w:rPr>
          <w:rFonts w:ascii="Arial" w:hAnsi="Arial" w:cs="Arial"/>
          <w:sz w:val="22"/>
        </w:rPr>
        <w:t xml:space="preserve">All funding will be subject to the terms and conditions set out in the </w:t>
      </w:r>
      <w:proofErr w:type="spellStart"/>
      <w:r w:rsidRPr="001945B4">
        <w:rPr>
          <w:rFonts w:ascii="Arial" w:hAnsi="Arial" w:cs="Arial"/>
          <w:sz w:val="22"/>
        </w:rPr>
        <w:t>PFA</w:t>
      </w:r>
      <w:proofErr w:type="spellEnd"/>
      <w:r w:rsidRPr="001945B4">
        <w:rPr>
          <w:rFonts w:ascii="Arial" w:hAnsi="Arial" w:cs="Arial"/>
          <w:sz w:val="22"/>
        </w:rPr>
        <w:t>, particularly conditions relating to the deposit of funds, auditing and unspent program</w:t>
      </w:r>
      <w:r w:rsidR="00BE7E9F">
        <w:rPr>
          <w:rFonts w:ascii="Arial" w:hAnsi="Arial" w:cs="Arial"/>
          <w:sz w:val="22"/>
        </w:rPr>
        <w:t>me</w:t>
      </w:r>
      <w:r w:rsidRPr="001945B4">
        <w:rPr>
          <w:rFonts w:ascii="Arial" w:hAnsi="Arial" w:cs="Arial"/>
          <w:sz w:val="22"/>
        </w:rPr>
        <w:t xml:space="preserve"> monies.</w:t>
      </w:r>
    </w:p>
    <w:p w:rsidR="002650A6" w:rsidRPr="001945B4" w:rsidRDefault="002650A6" w:rsidP="00C8105B">
      <w:pPr>
        <w:jc w:val="both"/>
        <w:rPr>
          <w:rFonts w:ascii="Arial" w:hAnsi="Arial" w:cs="Arial"/>
          <w:sz w:val="22"/>
        </w:rPr>
      </w:pPr>
      <w:r w:rsidRPr="001945B4">
        <w:rPr>
          <w:rFonts w:ascii="Arial" w:hAnsi="Arial" w:cs="Arial"/>
          <w:sz w:val="22"/>
        </w:rPr>
        <w:t xml:space="preserve">All payments will be made in line with the schedule and milestones set out in the </w:t>
      </w:r>
      <w:proofErr w:type="spellStart"/>
      <w:r w:rsidRPr="001945B4">
        <w:rPr>
          <w:rFonts w:ascii="Arial" w:hAnsi="Arial" w:cs="Arial"/>
          <w:sz w:val="22"/>
        </w:rPr>
        <w:t>PFA</w:t>
      </w:r>
      <w:proofErr w:type="spellEnd"/>
      <w:r w:rsidRPr="001945B4">
        <w:rPr>
          <w:rFonts w:ascii="Arial" w:hAnsi="Arial" w:cs="Arial"/>
          <w:sz w:val="22"/>
        </w:rPr>
        <w:t>.</w:t>
      </w:r>
    </w:p>
    <w:p w:rsidR="002650A6" w:rsidRPr="001945B4" w:rsidRDefault="002650A6" w:rsidP="00C8105B">
      <w:pPr>
        <w:pStyle w:val="Heading3"/>
        <w:jc w:val="both"/>
        <w:rPr>
          <w:sz w:val="24"/>
        </w:rPr>
      </w:pPr>
      <w:r w:rsidRPr="001945B4">
        <w:rPr>
          <w:sz w:val="24"/>
        </w:rPr>
        <w:t>Conflict of Interest</w:t>
      </w:r>
    </w:p>
    <w:p w:rsidR="002650A6" w:rsidRPr="001945B4" w:rsidRDefault="002650A6" w:rsidP="00C8105B">
      <w:pPr>
        <w:pStyle w:val="Pa7"/>
        <w:spacing w:before="40" w:after="40"/>
        <w:jc w:val="both"/>
        <w:rPr>
          <w:rFonts w:ascii="Arial" w:hAnsi="Arial" w:cs="Arial"/>
          <w:i/>
          <w:sz w:val="22"/>
        </w:rPr>
      </w:pPr>
      <w:r w:rsidRPr="001945B4">
        <w:rPr>
          <w:rFonts w:ascii="Arial" w:hAnsi="Arial" w:cs="Arial"/>
          <w:sz w:val="22"/>
        </w:rPr>
        <w:t>Successful applicants need to undertake their activities in a way that avoids conflicts of interest, whether perceived or actual.  This applies particularly to the selection of suppliers to the project, who must be chosen and engaged in an open and competitive process and in a way that maximises value for money.</w:t>
      </w:r>
    </w:p>
    <w:p w:rsidR="002650A6" w:rsidRPr="001945B4" w:rsidRDefault="002650A6" w:rsidP="00C8105B">
      <w:pPr>
        <w:pStyle w:val="Heading3"/>
        <w:jc w:val="both"/>
        <w:rPr>
          <w:sz w:val="24"/>
        </w:rPr>
      </w:pPr>
      <w:r w:rsidRPr="001945B4">
        <w:rPr>
          <w:sz w:val="24"/>
        </w:rPr>
        <w:t>Legal Advice</w:t>
      </w:r>
    </w:p>
    <w:p w:rsidR="002650A6" w:rsidRPr="001945B4" w:rsidRDefault="002650A6" w:rsidP="00C8105B">
      <w:pPr>
        <w:jc w:val="both"/>
        <w:rPr>
          <w:rFonts w:ascii="Arial" w:hAnsi="Arial" w:cs="Arial"/>
          <w:sz w:val="22"/>
        </w:rPr>
      </w:pPr>
      <w:r w:rsidRPr="001945B4">
        <w:rPr>
          <w:rFonts w:ascii="Arial" w:hAnsi="Arial" w:cs="Arial"/>
          <w:sz w:val="22"/>
        </w:rPr>
        <w:t xml:space="preserve">Please note that the </w:t>
      </w:r>
      <w:proofErr w:type="spellStart"/>
      <w:r w:rsidRPr="001945B4">
        <w:rPr>
          <w:rFonts w:ascii="Arial" w:hAnsi="Arial" w:cs="Arial"/>
          <w:sz w:val="22"/>
        </w:rPr>
        <w:t>TSRA</w:t>
      </w:r>
      <w:proofErr w:type="spellEnd"/>
      <w:r w:rsidRPr="001945B4">
        <w:rPr>
          <w:rFonts w:ascii="Arial" w:hAnsi="Arial" w:cs="Arial"/>
          <w:sz w:val="22"/>
        </w:rPr>
        <w:t xml:space="preserve"> does not provide legal advice to applicants. You should seek your own independent professional advice on all financial and legal matters, including compliance with any statutory obligations.</w:t>
      </w:r>
    </w:p>
    <w:p w:rsidR="002650A6" w:rsidRPr="001945B4" w:rsidRDefault="002650A6" w:rsidP="00C8105B">
      <w:pPr>
        <w:pStyle w:val="Heading3"/>
        <w:jc w:val="both"/>
        <w:rPr>
          <w:sz w:val="24"/>
        </w:rPr>
      </w:pPr>
      <w:r w:rsidRPr="001945B4">
        <w:rPr>
          <w:sz w:val="24"/>
        </w:rPr>
        <w:t>Tax and Government funding</w:t>
      </w:r>
    </w:p>
    <w:p w:rsidR="002650A6" w:rsidRPr="001945B4" w:rsidRDefault="002650A6" w:rsidP="00C8105B">
      <w:pPr>
        <w:pStyle w:val="Pa7"/>
        <w:spacing w:before="40" w:after="40"/>
        <w:jc w:val="both"/>
        <w:rPr>
          <w:rFonts w:ascii="Arial" w:hAnsi="Arial" w:cs="Arial"/>
        </w:rPr>
      </w:pPr>
      <w:r w:rsidRPr="001945B4">
        <w:rPr>
          <w:rFonts w:ascii="Arial" w:hAnsi="Arial" w:cs="Arial"/>
          <w:sz w:val="22"/>
        </w:rPr>
        <w:t xml:space="preserve">There may be taxation consequences of obtaining funding from the </w:t>
      </w:r>
      <w:proofErr w:type="spellStart"/>
      <w:r w:rsidRPr="001945B4">
        <w:rPr>
          <w:rFonts w:ascii="Arial" w:hAnsi="Arial" w:cs="Arial"/>
          <w:sz w:val="22"/>
        </w:rPr>
        <w:t>TSRA</w:t>
      </w:r>
      <w:proofErr w:type="spellEnd"/>
      <w:r w:rsidRPr="001945B4">
        <w:rPr>
          <w:rFonts w:ascii="Arial" w:hAnsi="Arial" w:cs="Arial"/>
          <w:sz w:val="22"/>
        </w:rPr>
        <w:t xml:space="preserve"> depending on individual circumstances.  Applicants should make their own enquiries about the taxation consequences (including income tax and Goods and Services Tax) of obtaining funding by consulting their financial adviser or the Australian Taxation Office Business Call Centre on 13 28 66.</w:t>
      </w:r>
    </w:p>
    <w:p w:rsidR="002650A6" w:rsidRPr="001945B4" w:rsidRDefault="002650A6" w:rsidP="00C8105B">
      <w:pPr>
        <w:pStyle w:val="Heading3"/>
        <w:jc w:val="both"/>
        <w:rPr>
          <w:sz w:val="24"/>
        </w:rPr>
      </w:pPr>
      <w:r w:rsidRPr="001945B4">
        <w:rPr>
          <w:sz w:val="24"/>
        </w:rPr>
        <w:t>Background Checks</w:t>
      </w:r>
    </w:p>
    <w:p w:rsidR="002650A6" w:rsidRPr="001945B4" w:rsidRDefault="002650A6" w:rsidP="00C8105B">
      <w:pPr>
        <w:jc w:val="both"/>
        <w:rPr>
          <w:rFonts w:ascii="Arial" w:hAnsi="Arial" w:cs="Arial"/>
          <w:i/>
          <w:sz w:val="22"/>
        </w:rPr>
      </w:pPr>
      <w:r w:rsidRPr="001945B4">
        <w:rPr>
          <w:rFonts w:ascii="Arial" w:hAnsi="Arial" w:cs="Arial"/>
          <w:sz w:val="22"/>
        </w:rPr>
        <w:t xml:space="preserve">The </w:t>
      </w:r>
      <w:proofErr w:type="spellStart"/>
      <w:r w:rsidRPr="001945B4">
        <w:rPr>
          <w:rFonts w:ascii="Arial" w:hAnsi="Arial" w:cs="Arial"/>
          <w:sz w:val="22"/>
        </w:rPr>
        <w:t>TSRA</w:t>
      </w:r>
      <w:proofErr w:type="spellEnd"/>
      <w:r w:rsidRPr="001945B4">
        <w:rPr>
          <w:rFonts w:ascii="Arial" w:hAnsi="Arial" w:cs="Arial"/>
          <w:sz w:val="22"/>
        </w:rPr>
        <w:t xml:space="preserve"> may at any time in the evaluation and selection process, examine the financial records of the applicant and undertake background checks, including criminal records, to determine the good character and business reputation of the applicant and/or funding recipient.</w:t>
      </w:r>
    </w:p>
    <w:p w:rsidR="002650A6" w:rsidRPr="001945B4" w:rsidRDefault="002650A6" w:rsidP="00C8105B">
      <w:pPr>
        <w:pStyle w:val="Heading3"/>
        <w:contextualSpacing/>
        <w:jc w:val="both"/>
        <w:rPr>
          <w:sz w:val="24"/>
        </w:rPr>
      </w:pPr>
      <w:r w:rsidRPr="001945B4">
        <w:rPr>
          <w:sz w:val="24"/>
        </w:rPr>
        <w:t>Privacy</w:t>
      </w:r>
    </w:p>
    <w:p w:rsidR="002650A6" w:rsidRPr="001945B4" w:rsidRDefault="002650A6" w:rsidP="00C8105B">
      <w:pPr>
        <w:pStyle w:val="Heading3"/>
        <w:contextualSpacing/>
        <w:jc w:val="both"/>
        <w:rPr>
          <w:sz w:val="24"/>
        </w:rPr>
      </w:pPr>
      <w:r w:rsidRPr="001945B4">
        <w:rPr>
          <w:b w:val="0"/>
          <w:sz w:val="22"/>
          <w:szCs w:val="24"/>
        </w:rPr>
        <w:t xml:space="preserve">The </w:t>
      </w:r>
      <w:proofErr w:type="spellStart"/>
      <w:r w:rsidRPr="001945B4">
        <w:rPr>
          <w:b w:val="0"/>
          <w:sz w:val="22"/>
          <w:szCs w:val="24"/>
        </w:rPr>
        <w:t>TSRA</w:t>
      </w:r>
      <w:proofErr w:type="spellEnd"/>
      <w:r w:rsidRPr="001945B4">
        <w:rPr>
          <w:b w:val="0"/>
          <w:sz w:val="22"/>
          <w:szCs w:val="24"/>
        </w:rPr>
        <w:t xml:space="preserve"> is accountable to Parliament and to the public in respect of all aspects of its Program</w:t>
      </w:r>
      <w:r w:rsidR="00BE7E9F">
        <w:rPr>
          <w:b w:val="0"/>
          <w:sz w:val="22"/>
          <w:szCs w:val="24"/>
        </w:rPr>
        <w:t>me</w:t>
      </w:r>
      <w:r w:rsidRPr="001945B4">
        <w:rPr>
          <w:b w:val="0"/>
          <w:sz w:val="22"/>
          <w:szCs w:val="24"/>
        </w:rPr>
        <w:t xml:space="preserve">s. Treatment of submissions is subject to special obligations placed on Australian Public Service employees by the </w:t>
      </w:r>
      <w:r w:rsidRPr="001945B4">
        <w:rPr>
          <w:b w:val="0"/>
          <w:i/>
          <w:iCs/>
          <w:sz w:val="22"/>
          <w:szCs w:val="24"/>
        </w:rPr>
        <w:t xml:space="preserve">Privacy Act 1988 </w:t>
      </w:r>
      <w:r w:rsidRPr="001945B4">
        <w:rPr>
          <w:b w:val="0"/>
          <w:sz w:val="22"/>
          <w:szCs w:val="24"/>
        </w:rPr>
        <w:t xml:space="preserve">and the </w:t>
      </w:r>
      <w:r w:rsidRPr="001945B4">
        <w:rPr>
          <w:b w:val="0"/>
          <w:i/>
          <w:iCs/>
          <w:sz w:val="22"/>
          <w:szCs w:val="24"/>
        </w:rPr>
        <w:t>Public Service Act 1999</w:t>
      </w:r>
      <w:r w:rsidRPr="001945B4">
        <w:rPr>
          <w:b w:val="0"/>
          <w:sz w:val="22"/>
          <w:szCs w:val="24"/>
        </w:rPr>
        <w:t xml:space="preserve">, which govern the </w:t>
      </w:r>
      <w:proofErr w:type="spellStart"/>
      <w:r w:rsidRPr="001945B4">
        <w:rPr>
          <w:b w:val="0"/>
          <w:sz w:val="22"/>
          <w:szCs w:val="24"/>
        </w:rPr>
        <w:t>TSRA’s</w:t>
      </w:r>
      <w:proofErr w:type="spellEnd"/>
      <w:r w:rsidRPr="001945B4">
        <w:rPr>
          <w:b w:val="0"/>
          <w:sz w:val="22"/>
          <w:szCs w:val="24"/>
        </w:rPr>
        <w:t xml:space="preserve"> use of the information provided. In this context, the </w:t>
      </w:r>
      <w:proofErr w:type="spellStart"/>
      <w:r w:rsidRPr="001945B4">
        <w:rPr>
          <w:b w:val="0"/>
          <w:sz w:val="22"/>
          <w:szCs w:val="24"/>
        </w:rPr>
        <w:t>TSRA</w:t>
      </w:r>
      <w:proofErr w:type="spellEnd"/>
      <w:r w:rsidRPr="001945B4">
        <w:rPr>
          <w:b w:val="0"/>
          <w:sz w:val="22"/>
          <w:szCs w:val="24"/>
        </w:rPr>
        <w:t xml:space="preserve"> is generally unable to accept grant submissions on a confidential basis. </w:t>
      </w:r>
    </w:p>
    <w:p w:rsidR="002650A6" w:rsidRPr="001945B4" w:rsidRDefault="002650A6" w:rsidP="00C8105B">
      <w:pPr>
        <w:jc w:val="both"/>
        <w:rPr>
          <w:rFonts w:ascii="Arial" w:hAnsi="Arial" w:cs="Arial"/>
        </w:rPr>
      </w:pPr>
    </w:p>
    <w:p w:rsidR="002650A6" w:rsidRPr="001945B4" w:rsidRDefault="002650A6">
      <w:pPr>
        <w:rPr>
          <w:rFonts w:ascii="Arial" w:hAnsi="Arial" w:cs="Arial"/>
        </w:rPr>
      </w:pPr>
    </w:p>
    <w:p w:rsidR="002650A6" w:rsidRPr="001945B4" w:rsidRDefault="002650A6">
      <w:pPr>
        <w:rPr>
          <w:rFonts w:ascii="Arial" w:hAnsi="Arial" w:cs="Arial"/>
        </w:rPr>
      </w:pPr>
    </w:p>
    <w:p w:rsidR="002650A6" w:rsidRPr="001945B4" w:rsidRDefault="002650A6">
      <w:pPr>
        <w:rPr>
          <w:rFonts w:ascii="Arial" w:hAnsi="Arial" w:cs="Arial"/>
        </w:rPr>
      </w:pPr>
    </w:p>
    <w:p w:rsidR="002650A6" w:rsidRPr="001945B4" w:rsidRDefault="002650A6">
      <w:pPr>
        <w:rPr>
          <w:rFonts w:ascii="Arial" w:hAnsi="Arial" w:cs="Arial"/>
        </w:rPr>
      </w:pPr>
    </w:p>
    <w:sectPr w:rsidR="002650A6" w:rsidRPr="001945B4" w:rsidSect="00023DCB">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AD" w:rsidRDefault="007D32AD">
      <w:r>
        <w:separator/>
      </w:r>
    </w:p>
  </w:endnote>
  <w:endnote w:type="continuationSeparator" w:id="0">
    <w:p w:rsidR="007D32AD" w:rsidRDefault="007D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A6" w:rsidRPr="00D96257" w:rsidRDefault="002650A6" w:rsidP="001628A6">
    <w:pPr>
      <w:pStyle w:val="Footer"/>
      <w:jc w:val="center"/>
      <w:rPr>
        <w:sz w:val="18"/>
        <w:szCs w:val="18"/>
      </w:rPr>
    </w:pPr>
    <w:r w:rsidRPr="00D96257">
      <w:rPr>
        <w:sz w:val="18"/>
        <w:szCs w:val="18"/>
      </w:rPr>
      <w:t xml:space="preserve">Page </w:t>
    </w:r>
    <w:r w:rsidR="00AC6F57" w:rsidRPr="00D96257">
      <w:rPr>
        <w:rStyle w:val="PageNumber"/>
        <w:sz w:val="18"/>
        <w:szCs w:val="18"/>
      </w:rPr>
      <w:fldChar w:fldCharType="begin"/>
    </w:r>
    <w:r w:rsidRPr="00D96257">
      <w:rPr>
        <w:rStyle w:val="PageNumber"/>
        <w:sz w:val="18"/>
        <w:szCs w:val="18"/>
      </w:rPr>
      <w:instrText xml:space="preserve"> PAGE </w:instrText>
    </w:r>
    <w:r w:rsidR="00AC6F57" w:rsidRPr="00D96257">
      <w:rPr>
        <w:rStyle w:val="PageNumber"/>
        <w:sz w:val="18"/>
        <w:szCs w:val="18"/>
      </w:rPr>
      <w:fldChar w:fldCharType="separate"/>
    </w:r>
    <w:r w:rsidR="003A3039">
      <w:rPr>
        <w:rStyle w:val="PageNumber"/>
        <w:noProof/>
        <w:sz w:val="18"/>
        <w:szCs w:val="18"/>
      </w:rPr>
      <w:t>6</w:t>
    </w:r>
    <w:r w:rsidR="00AC6F57" w:rsidRPr="00D96257">
      <w:rPr>
        <w:rStyle w:val="PageNumber"/>
        <w:sz w:val="18"/>
        <w:szCs w:val="18"/>
      </w:rPr>
      <w:fldChar w:fldCharType="end"/>
    </w:r>
    <w:r w:rsidRPr="00D96257">
      <w:rPr>
        <w:rStyle w:val="PageNumber"/>
        <w:sz w:val="18"/>
        <w:szCs w:val="18"/>
      </w:rPr>
      <w:t xml:space="preserve"> of </w:t>
    </w:r>
    <w:r w:rsidR="00AC6F57" w:rsidRPr="00D96257">
      <w:rPr>
        <w:rStyle w:val="PageNumber"/>
        <w:sz w:val="18"/>
        <w:szCs w:val="18"/>
      </w:rPr>
      <w:fldChar w:fldCharType="begin"/>
    </w:r>
    <w:r w:rsidRPr="00D96257">
      <w:rPr>
        <w:rStyle w:val="PageNumber"/>
        <w:sz w:val="18"/>
        <w:szCs w:val="18"/>
      </w:rPr>
      <w:instrText xml:space="preserve"> NUMPAGES </w:instrText>
    </w:r>
    <w:r w:rsidR="00AC6F57" w:rsidRPr="00D96257">
      <w:rPr>
        <w:rStyle w:val="PageNumber"/>
        <w:sz w:val="18"/>
        <w:szCs w:val="18"/>
      </w:rPr>
      <w:fldChar w:fldCharType="separate"/>
    </w:r>
    <w:r w:rsidR="003A3039">
      <w:rPr>
        <w:rStyle w:val="PageNumber"/>
        <w:noProof/>
        <w:sz w:val="18"/>
        <w:szCs w:val="18"/>
      </w:rPr>
      <w:t>6</w:t>
    </w:r>
    <w:r w:rsidR="00AC6F57" w:rsidRPr="00D96257">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AD" w:rsidRDefault="007D32AD">
      <w:r>
        <w:separator/>
      </w:r>
    </w:p>
  </w:footnote>
  <w:footnote w:type="continuationSeparator" w:id="0">
    <w:p w:rsidR="007D32AD" w:rsidRDefault="007D3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010"/>
    <w:multiLevelType w:val="hybridMultilevel"/>
    <w:tmpl w:val="12A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47AAC"/>
    <w:multiLevelType w:val="hybridMultilevel"/>
    <w:tmpl w:val="586EEC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6D202A"/>
    <w:multiLevelType w:val="hybridMultilevel"/>
    <w:tmpl w:val="F0B4BD4C"/>
    <w:lvl w:ilvl="0" w:tplc="52A4D7F0">
      <w:start w:val="1"/>
      <w:numFmt w:val="decimal"/>
      <w:lvlText w:val="%1."/>
      <w:lvlJc w:val="left"/>
      <w:pPr>
        <w:ind w:left="786" w:hanging="360"/>
      </w:pPr>
      <w:rPr>
        <w:rFonts w:ascii="Frutiger 55 Roman" w:hAnsi="Frutiger 55 Roman" w:cs="Frutiger 55 Roman" w:hint="default"/>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6FB404F"/>
    <w:multiLevelType w:val="hybridMultilevel"/>
    <w:tmpl w:val="8AB005DA"/>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5C64D12"/>
    <w:multiLevelType w:val="hybridMultilevel"/>
    <w:tmpl w:val="DA1282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7619D"/>
    <w:multiLevelType w:val="hybridMultilevel"/>
    <w:tmpl w:val="754E9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6724CF"/>
    <w:multiLevelType w:val="hybridMultilevel"/>
    <w:tmpl w:val="8F3C96EA"/>
    <w:lvl w:ilvl="0" w:tplc="F3E06D9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05605E"/>
    <w:multiLevelType w:val="hybridMultilevel"/>
    <w:tmpl w:val="5B006D8C"/>
    <w:lvl w:ilvl="0" w:tplc="C9F442AE">
      <w:numFmt w:val="bullet"/>
      <w:lvlText w:val="-"/>
      <w:lvlJc w:val="left"/>
      <w:pPr>
        <w:ind w:left="720" w:hanging="360"/>
      </w:pPr>
      <w:rPr>
        <w:rFonts w:ascii="Cambria" w:eastAsia="Times New Roman" w:hAnsi="Cambr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01EFE"/>
    <w:multiLevelType w:val="hybridMultilevel"/>
    <w:tmpl w:val="669605D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0ED02F8"/>
    <w:multiLevelType w:val="hybridMultilevel"/>
    <w:tmpl w:val="D88632FC"/>
    <w:lvl w:ilvl="0" w:tplc="7CB8041A">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E01541"/>
    <w:multiLevelType w:val="hybridMultilevel"/>
    <w:tmpl w:val="02AAA8F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5540679"/>
    <w:multiLevelType w:val="hybridMultilevel"/>
    <w:tmpl w:val="1CFC3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B9346F"/>
    <w:multiLevelType w:val="hybridMultilevel"/>
    <w:tmpl w:val="9CCCE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243F06"/>
    <w:multiLevelType w:val="hybridMultilevel"/>
    <w:tmpl w:val="30FE0AFE"/>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6C1667D0"/>
    <w:multiLevelType w:val="hybridMultilevel"/>
    <w:tmpl w:val="BA2E2A3A"/>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5" w15:restartNumberingAfterBreak="0">
    <w:nsid w:val="702E6234"/>
    <w:multiLevelType w:val="hybridMultilevel"/>
    <w:tmpl w:val="56BA8D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A27CC7"/>
    <w:multiLevelType w:val="hybridMultilevel"/>
    <w:tmpl w:val="823EF4CE"/>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E5B3927"/>
    <w:multiLevelType w:val="hybridMultilevel"/>
    <w:tmpl w:val="D668F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C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7"/>
  </w:num>
  <w:num w:numId="4">
    <w:abstractNumId w:val="2"/>
  </w:num>
  <w:num w:numId="5">
    <w:abstractNumId w:val="7"/>
  </w:num>
  <w:num w:numId="6">
    <w:abstractNumId w:val="13"/>
  </w:num>
  <w:num w:numId="7">
    <w:abstractNumId w:val="16"/>
  </w:num>
  <w:num w:numId="8">
    <w:abstractNumId w:val="3"/>
  </w:num>
  <w:num w:numId="9">
    <w:abstractNumId w:val="12"/>
  </w:num>
  <w:num w:numId="10">
    <w:abstractNumId w:val="5"/>
  </w:num>
  <w:num w:numId="11">
    <w:abstractNumId w:val="1"/>
  </w:num>
  <w:num w:numId="12">
    <w:abstractNumId w:val="14"/>
  </w:num>
  <w:num w:numId="13">
    <w:abstractNumId w:val="8"/>
  </w:num>
  <w:num w:numId="14">
    <w:abstractNumId w:val="10"/>
  </w:num>
  <w:num w:numId="15">
    <w:abstractNumId w:val="0"/>
  </w:num>
  <w:num w:numId="16">
    <w:abstractNumId w:val="11"/>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11"/>
    <w:rsid w:val="00002FCB"/>
    <w:rsid w:val="00010CAC"/>
    <w:rsid w:val="00023DCB"/>
    <w:rsid w:val="00043BA3"/>
    <w:rsid w:val="000556BB"/>
    <w:rsid w:val="0006734D"/>
    <w:rsid w:val="00086BF1"/>
    <w:rsid w:val="000B7B72"/>
    <w:rsid w:val="000C1402"/>
    <w:rsid w:val="000D0CC4"/>
    <w:rsid w:val="0013158C"/>
    <w:rsid w:val="001472BF"/>
    <w:rsid w:val="001628A6"/>
    <w:rsid w:val="00163D15"/>
    <w:rsid w:val="001945B4"/>
    <w:rsid w:val="001C418C"/>
    <w:rsid w:val="001D5679"/>
    <w:rsid w:val="00216BDE"/>
    <w:rsid w:val="002650A6"/>
    <w:rsid w:val="002A13AF"/>
    <w:rsid w:val="002A350A"/>
    <w:rsid w:val="002B2567"/>
    <w:rsid w:val="002B7966"/>
    <w:rsid w:val="002D3A56"/>
    <w:rsid w:val="002F2150"/>
    <w:rsid w:val="00371A2F"/>
    <w:rsid w:val="00386281"/>
    <w:rsid w:val="003A3039"/>
    <w:rsid w:val="003B193B"/>
    <w:rsid w:val="003E2BB3"/>
    <w:rsid w:val="003F41E8"/>
    <w:rsid w:val="00422436"/>
    <w:rsid w:val="0044099A"/>
    <w:rsid w:val="004421EE"/>
    <w:rsid w:val="00467AEC"/>
    <w:rsid w:val="0047586C"/>
    <w:rsid w:val="00482613"/>
    <w:rsid w:val="004930BB"/>
    <w:rsid w:val="004A1774"/>
    <w:rsid w:val="004A4D62"/>
    <w:rsid w:val="004B717D"/>
    <w:rsid w:val="004F2FCA"/>
    <w:rsid w:val="00524327"/>
    <w:rsid w:val="005339A8"/>
    <w:rsid w:val="00555A3A"/>
    <w:rsid w:val="00581B95"/>
    <w:rsid w:val="005B1CDA"/>
    <w:rsid w:val="005C531B"/>
    <w:rsid w:val="005D5F21"/>
    <w:rsid w:val="005F212D"/>
    <w:rsid w:val="0062120F"/>
    <w:rsid w:val="00627F71"/>
    <w:rsid w:val="006344B8"/>
    <w:rsid w:val="006414A0"/>
    <w:rsid w:val="00667B62"/>
    <w:rsid w:val="00675DA9"/>
    <w:rsid w:val="00691708"/>
    <w:rsid w:val="006A5906"/>
    <w:rsid w:val="006A5F90"/>
    <w:rsid w:val="006B5A8B"/>
    <w:rsid w:val="006C6171"/>
    <w:rsid w:val="00735BEB"/>
    <w:rsid w:val="00736DB8"/>
    <w:rsid w:val="007642E9"/>
    <w:rsid w:val="00795A92"/>
    <w:rsid w:val="007D32AD"/>
    <w:rsid w:val="007D54F7"/>
    <w:rsid w:val="007E18D9"/>
    <w:rsid w:val="007E5775"/>
    <w:rsid w:val="008005CF"/>
    <w:rsid w:val="008210F1"/>
    <w:rsid w:val="0083335B"/>
    <w:rsid w:val="00845D7A"/>
    <w:rsid w:val="008851C7"/>
    <w:rsid w:val="0089089C"/>
    <w:rsid w:val="0089213F"/>
    <w:rsid w:val="008C04C8"/>
    <w:rsid w:val="008C151D"/>
    <w:rsid w:val="008C19BC"/>
    <w:rsid w:val="008C259D"/>
    <w:rsid w:val="008C791F"/>
    <w:rsid w:val="008D5B7D"/>
    <w:rsid w:val="00901D97"/>
    <w:rsid w:val="00913B21"/>
    <w:rsid w:val="009147FC"/>
    <w:rsid w:val="009168FF"/>
    <w:rsid w:val="00931561"/>
    <w:rsid w:val="00945EE6"/>
    <w:rsid w:val="00953FC6"/>
    <w:rsid w:val="00960956"/>
    <w:rsid w:val="0096122B"/>
    <w:rsid w:val="009752EE"/>
    <w:rsid w:val="00985366"/>
    <w:rsid w:val="009A4001"/>
    <w:rsid w:val="009F2127"/>
    <w:rsid w:val="00A246F1"/>
    <w:rsid w:val="00A25D7F"/>
    <w:rsid w:val="00A473FF"/>
    <w:rsid w:val="00A52A2B"/>
    <w:rsid w:val="00A6009E"/>
    <w:rsid w:val="00A74228"/>
    <w:rsid w:val="00AC07B8"/>
    <w:rsid w:val="00AC57B9"/>
    <w:rsid w:val="00AC6F57"/>
    <w:rsid w:val="00AE5FA8"/>
    <w:rsid w:val="00AF2A13"/>
    <w:rsid w:val="00B016CA"/>
    <w:rsid w:val="00B3364A"/>
    <w:rsid w:val="00B809BD"/>
    <w:rsid w:val="00B8318D"/>
    <w:rsid w:val="00B9011E"/>
    <w:rsid w:val="00BC307B"/>
    <w:rsid w:val="00BD6F9E"/>
    <w:rsid w:val="00BE0394"/>
    <w:rsid w:val="00BE7E9F"/>
    <w:rsid w:val="00BF0E75"/>
    <w:rsid w:val="00C02643"/>
    <w:rsid w:val="00C72B8D"/>
    <w:rsid w:val="00C80A63"/>
    <w:rsid w:val="00C8105B"/>
    <w:rsid w:val="00C90AB4"/>
    <w:rsid w:val="00C930EB"/>
    <w:rsid w:val="00C961F1"/>
    <w:rsid w:val="00CA1B6A"/>
    <w:rsid w:val="00CE7BAD"/>
    <w:rsid w:val="00D1714D"/>
    <w:rsid w:val="00D30265"/>
    <w:rsid w:val="00D32B2D"/>
    <w:rsid w:val="00D509ED"/>
    <w:rsid w:val="00D96257"/>
    <w:rsid w:val="00DD7FC1"/>
    <w:rsid w:val="00DF1B6B"/>
    <w:rsid w:val="00E140F7"/>
    <w:rsid w:val="00E351F2"/>
    <w:rsid w:val="00E6255E"/>
    <w:rsid w:val="00E646EA"/>
    <w:rsid w:val="00EA1D5D"/>
    <w:rsid w:val="00ED2866"/>
    <w:rsid w:val="00ED5B29"/>
    <w:rsid w:val="00EE67C2"/>
    <w:rsid w:val="00EF02C6"/>
    <w:rsid w:val="00F00211"/>
    <w:rsid w:val="00F20E04"/>
    <w:rsid w:val="00F305AF"/>
    <w:rsid w:val="00F43D10"/>
    <w:rsid w:val="00F93976"/>
    <w:rsid w:val="00FB4939"/>
    <w:rsid w:val="00FC23C2"/>
    <w:rsid w:val="00FD78C9"/>
    <w:rsid w:val="00FF2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67B49E-F351-4D71-B276-4FF5A67B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CB"/>
    <w:rPr>
      <w:sz w:val="24"/>
      <w:szCs w:val="24"/>
    </w:rPr>
  </w:style>
  <w:style w:type="paragraph" w:styleId="Heading1">
    <w:name w:val="heading 1"/>
    <w:basedOn w:val="Normal"/>
    <w:next w:val="Normal"/>
    <w:link w:val="Heading1Char"/>
    <w:uiPriority w:val="99"/>
    <w:qFormat/>
    <w:rsid w:val="00F002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C25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72B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1B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61BE0"/>
    <w:rPr>
      <w:rFonts w:asciiTheme="majorHAnsi" w:eastAsiaTheme="majorEastAsia" w:hAnsiTheme="majorHAnsi" w:cstheme="majorBidi"/>
      <w:b/>
      <w:bCs/>
      <w:sz w:val="26"/>
      <w:szCs w:val="26"/>
    </w:rPr>
  </w:style>
  <w:style w:type="paragraph" w:styleId="Header">
    <w:name w:val="header"/>
    <w:basedOn w:val="Normal"/>
    <w:link w:val="HeaderChar"/>
    <w:uiPriority w:val="99"/>
    <w:rsid w:val="00D96257"/>
    <w:pPr>
      <w:tabs>
        <w:tab w:val="center" w:pos="4153"/>
        <w:tab w:val="right" w:pos="8306"/>
      </w:tabs>
    </w:pPr>
  </w:style>
  <w:style w:type="character" w:customStyle="1" w:styleId="HeaderChar">
    <w:name w:val="Header Char"/>
    <w:basedOn w:val="DefaultParagraphFont"/>
    <w:link w:val="Header"/>
    <w:uiPriority w:val="99"/>
    <w:semiHidden/>
    <w:rsid w:val="00161BE0"/>
    <w:rPr>
      <w:sz w:val="24"/>
      <w:szCs w:val="24"/>
    </w:rPr>
  </w:style>
  <w:style w:type="paragraph" w:styleId="Footer">
    <w:name w:val="footer"/>
    <w:basedOn w:val="Normal"/>
    <w:link w:val="FooterChar"/>
    <w:uiPriority w:val="99"/>
    <w:rsid w:val="00D96257"/>
    <w:pPr>
      <w:tabs>
        <w:tab w:val="center" w:pos="4153"/>
        <w:tab w:val="right" w:pos="8306"/>
      </w:tabs>
    </w:pPr>
  </w:style>
  <w:style w:type="character" w:customStyle="1" w:styleId="FooterChar">
    <w:name w:val="Footer Char"/>
    <w:basedOn w:val="DefaultParagraphFont"/>
    <w:link w:val="Footer"/>
    <w:uiPriority w:val="99"/>
    <w:semiHidden/>
    <w:rsid w:val="00161BE0"/>
    <w:rPr>
      <w:sz w:val="24"/>
      <w:szCs w:val="24"/>
    </w:rPr>
  </w:style>
  <w:style w:type="character" w:styleId="PageNumber">
    <w:name w:val="page number"/>
    <w:basedOn w:val="DefaultParagraphFont"/>
    <w:uiPriority w:val="99"/>
    <w:rsid w:val="00D96257"/>
    <w:rPr>
      <w:rFonts w:cs="Times New Roman"/>
    </w:rPr>
  </w:style>
  <w:style w:type="paragraph" w:styleId="BalloonText">
    <w:name w:val="Balloon Text"/>
    <w:basedOn w:val="Normal"/>
    <w:link w:val="BalloonTextChar"/>
    <w:uiPriority w:val="99"/>
    <w:semiHidden/>
    <w:rsid w:val="00371A2F"/>
    <w:rPr>
      <w:rFonts w:ascii="Tahoma" w:hAnsi="Tahoma" w:cs="Tahoma"/>
      <w:sz w:val="16"/>
      <w:szCs w:val="16"/>
    </w:rPr>
  </w:style>
  <w:style w:type="character" w:customStyle="1" w:styleId="BalloonTextChar">
    <w:name w:val="Balloon Text Char"/>
    <w:basedOn w:val="DefaultParagraphFont"/>
    <w:link w:val="BalloonText"/>
    <w:uiPriority w:val="99"/>
    <w:semiHidden/>
    <w:rsid w:val="00161BE0"/>
    <w:rPr>
      <w:sz w:val="0"/>
      <w:szCs w:val="0"/>
    </w:rPr>
  </w:style>
  <w:style w:type="paragraph" w:customStyle="1" w:styleId="Pa7">
    <w:name w:val="Pa7"/>
    <w:basedOn w:val="Normal"/>
    <w:next w:val="Normal"/>
    <w:uiPriority w:val="99"/>
    <w:rsid w:val="006414A0"/>
    <w:pPr>
      <w:autoSpaceDE w:val="0"/>
      <w:autoSpaceDN w:val="0"/>
      <w:adjustRightInd w:val="0"/>
      <w:spacing w:line="211" w:lineRule="atLeast"/>
    </w:pPr>
    <w:rPr>
      <w:rFonts w:ascii="Frutiger 45 Light" w:hAnsi="Frutiger 45 Light"/>
    </w:rPr>
  </w:style>
  <w:style w:type="paragraph" w:customStyle="1" w:styleId="Pa17">
    <w:name w:val="Pa17"/>
    <w:basedOn w:val="Normal"/>
    <w:next w:val="Normal"/>
    <w:uiPriority w:val="99"/>
    <w:rsid w:val="00B9011E"/>
    <w:pPr>
      <w:autoSpaceDE w:val="0"/>
      <w:autoSpaceDN w:val="0"/>
      <w:adjustRightInd w:val="0"/>
      <w:spacing w:line="211" w:lineRule="atLeast"/>
    </w:pPr>
    <w:rPr>
      <w:rFonts w:ascii="Frutiger 45 Light" w:hAnsi="Frutiger 45 Light"/>
    </w:rPr>
  </w:style>
  <w:style w:type="paragraph" w:styleId="ListParagraph">
    <w:name w:val="List Paragraph"/>
    <w:basedOn w:val="Normal"/>
    <w:uiPriority w:val="99"/>
    <w:qFormat/>
    <w:rsid w:val="000C1402"/>
    <w:pPr>
      <w:ind w:left="720"/>
    </w:pPr>
  </w:style>
  <w:style w:type="character" w:styleId="CommentReference">
    <w:name w:val="annotation reference"/>
    <w:basedOn w:val="DefaultParagraphFont"/>
    <w:uiPriority w:val="99"/>
    <w:rsid w:val="00482613"/>
    <w:rPr>
      <w:rFonts w:cs="Times New Roman"/>
      <w:sz w:val="16"/>
      <w:szCs w:val="16"/>
    </w:rPr>
  </w:style>
  <w:style w:type="paragraph" w:styleId="CommentText">
    <w:name w:val="annotation text"/>
    <w:basedOn w:val="Normal"/>
    <w:link w:val="CommentTextChar"/>
    <w:uiPriority w:val="99"/>
    <w:rsid w:val="00482613"/>
    <w:rPr>
      <w:sz w:val="20"/>
      <w:szCs w:val="20"/>
    </w:rPr>
  </w:style>
  <w:style w:type="character" w:customStyle="1" w:styleId="CommentTextChar">
    <w:name w:val="Comment Text Char"/>
    <w:basedOn w:val="DefaultParagraphFont"/>
    <w:link w:val="CommentText"/>
    <w:uiPriority w:val="99"/>
    <w:locked/>
    <w:rsid w:val="00482613"/>
    <w:rPr>
      <w:rFonts w:cs="Times New Roman"/>
    </w:rPr>
  </w:style>
  <w:style w:type="paragraph" w:styleId="CommentSubject">
    <w:name w:val="annotation subject"/>
    <w:basedOn w:val="CommentText"/>
    <w:next w:val="CommentText"/>
    <w:link w:val="CommentSubjectChar"/>
    <w:uiPriority w:val="99"/>
    <w:rsid w:val="00482613"/>
    <w:rPr>
      <w:b/>
      <w:bCs/>
    </w:rPr>
  </w:style>
  <w:style w:type="character" w:customStyle="1" w:styleId="CommentSubjectChar">
    <w:name w:val="Comment Subject Char"/>
    <w:basedOn w:val="CommentTextChar"/>
    <w:link w:val="CommentSubject"/>
    <w:uiPriority w:val="99"/>
    <w:locked/>
    <w:rsid w:val="00482613"/>
    <w:rPr>
      <w:rFonts w:cs="Times New Roman"/>
      <w:b/>
      <w:bCs/>
    </w:rPr>
  </w:style>
  <w:style w:type="character" w:styleId="Hyperlink">
    <w:name w:val="Hyperlink"/>
    <w:basedOn w:val="DefaultParagraphFont"/>
    <w:uiPriority w:val="99"/>
    <w:rsid w:val="00524327"/>
    <w:rPr>
      <w:rFonts w:cs="Times New Roman"/>
      <w:color w:val="0000FF"/>
      <w:u w:val="single"/>
    </w:rPr>
  </w:style>
  <w:style w:type="character" w:styleId="FollowedHyperlink">
    <w:name w:val="FollowedHyperlink"/>
    <w:basedOn w:val="DefaultParagraphFont"/>
    <w:uiPriority w:val="99"/>
    <w:rsid w:val="00CE7BA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5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ra.gov.au/media/70463/ts-npa-rp-09-2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applications@tsra.gov.au" TargetMode="External"/><Relationship Id="rId5" Type="http://schemas.openxmlformats.org/officeDocument/2006/relationships/footnotes" Target="footnotes.xml"/><Relationship Id="rId10" Type="http://schemas.openxmlformats.org/officeDocument/2006/relationships/hyperlink" Target="http://www.tsra.gov.au" TargetMode="External"/><Relationship Id="rId4" Type="http://schemas.openxmlformats.org/officeDocument/2006/relationships/webSettings" Target="webSettings.xml"/><Relationship Id="rId9" Type="http://schemas.openxmlformats.org/officeDocument/2006/relationships/hyperlink" Target="http://www.tsra.gov.au/media/80497/dev%20plan%202010%20full%20and%20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Grant Guidelines</vt:lpstr>
    </vt:vector>
  </TitlesOfParts>
  <Company>TSRA</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Guidelines</dc:title>
  <dc:creator>shatter</dc:creator>
  <cp:lastModifiedBy>BANI Mary</cp:lastModifiedBy>
  <cp:revision>3</cp:revision>
  <cp:lastPrinted>2016-08-16T01:23:00Z</cp:lastPrinted>
  <dcterms:created xsi:type="dcterms:W3CDTF">2016-08-26T06:15:00Z</dcterms:created>
  <dcterms:modified xsi:type="dcterms:W3CDTF">2016-08-26T06:18:00Z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329b18d2-7bcd-40d0-88ca-945a7b42a45d</vt:lpwstr>
  </property>
</Properties>
</file>