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79" w:rsidRDefault="00846679" w:rsidP="00F00211">
      <w:pPr>
        <w:pStyle w:val="Heading1"/>
        <w:jc w:val="center"/>
        <w:rPr>
          <w:sz w:val="72"/>
          <w:szCs w:val="72"/>
        </w:rPr>
      </w:pPr>
    </w:p>
    <w:p w:rsidR="00846679" w:rsidRDefault="00970939" w:rsidP="00F00211">
      <w:pPr>
        <w:pStyle w:val="Heading1"/>
        <w:jc w:val="center"/>
        <w:rPr>
          <w:sz w:val="72"/>
          <w:szCs w:val="72"/>
        </w:rPr>
      </w:pPr>
      <w:r>
        <w:rPr>
          <w:noProof/>
        </w:rPr>
        <w:drawing>
          <wp:inline distT="0" distB="0" distL="0" distR="0" wp14:anchorId="20D596B9" wp14:editId="3D03F420">
            <wp:extent cx="1190625" cy="1543050"/>
            <wp:effectExtent l="0" t="0" r="9525" b="0"/>
            <wp:docPr id="1" name="Picture 1" desc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543050"/>
                    </a:xfrm>
                    <a:prstGeom prst="rect">
                      <a:avLst/>
                    </a:prstGeom>
                    <a:noFill/>
                    <a:ln>
                      <a:noFill/>
                    </a:ln>
                  </pic:spPr>
                </pic:pic>
              </a:graphicData>
            </a:graphic>
          </wp:inline>
        </w:drawing>
      </w:r>
    </w:p>
    <w:p w:rsidR="00846679" w:rsidRDefault="00846679" w:rsidP="00846679">
      <w:pPr>
        <w:pStyle w:val="Heading1"/>
        <w:rPr>
          <w:sz w:val="72"/>
          <w:szCs w:val="72"/>
        </w:rPr>
      </w:pPr>
    </w:p>
    <w:p w:rsidR="00846679" w:rsidRPr="00846679" w:rsidRDefault="00846679" w:rsidP="00846679"/>
    <w:p w:rsidR="00CC6DAC" w:rsidRDefault="00CC6DAC" w:rsidP="00CC6DAC">
      <w:pPr>
        <w:pStyle w:val="Heading1"/>
        <w:tabs>
          <w:tab w:val="left" w:pos="1140"/>
          <w:tab w:val="center" w:pos="4153"/>
        </w:tabs>
        <w:jc w:val="center"/>
        <w:rPr>
          <w:sz w:val="52"/>
          <w:szCs w:val="60"/>
        </w:rPr>
      </w:pPr>
      <w:r w:rsidRPr="007E4C9D">
        <w:rPr>
          <w:sz w:val="52"/>
          <w:szCs w:val="60"/>
        </w:rPr>
        <w:t>Torres Strait Regional Authority</w:t>
      </w:r>
    </w:p>
    <w:p w:rsidR="007E4C9D" w:rsidRPr="007E4C9D" w:rsidRDefault="007E4C9D" w:rsidP="007E4C9D"/>
    <w:p w:rsidR="00846679" w:rsidRPr="00CC6DAC" w:rsidRDefault="00846679" w:rsidP="00F00211">
      <w:pPr>
        <w:pStyle w:val="Heading1"/>
        <w:jc w:val="center"/>
        <w:rPr>
          <w:sz w:val="60"/>
          <w:szCs w:val="60"/>
        </w:rPr>
      </w:pPr>
      <w:r w:rsidRPr="00CC6DAC">
        <w:rPr>
          <w:sz w:val="60"/>
          <w:szCs w:val="60"/>
        </w:rPr>
        <w:t>Safe Communities Program</w:t>
      </w:r>
      <w:r w:rsidR="00CC6DAC">
        <w:rPr>
          <w:sz w:val="60"/>
          <w:szCs w:val="60"/>
        </w:rPr>
        <w:t>me</w:t>
      </w:r>
    </w:p>
    <w:p w:rsidR="00846679" w:rsidRPr="0083335B" w:rsidRDefault="00846679" w:rsidP="00F00211">
      <w:pPr>
        <w:pStyle w:val="Heading1"/>
        <w:jc w:val="center"/>
        <w:rPr>
          <w:sz w:val="40"/>
          <w:szCs w:val="40"/>
        </w:rPr>
      </w:pPr>
    </w:p>
    <w:p w:rsidR="00F00211" w:rsidRPr="0083335B" w:rsidRDefault="00551340" w:rsidP="00F00211">
      <w:pPr>
        <w:pStyle w:val="Heading1"/>
        <w:jc w:val="center"/>
        <w:rPr>
          <w:sz w:val="40"/>
          <w:szCs w:val="40"/>
        </w:rPr>
      </w:pPr>
      <w:r>
        <w:rPr>
          <w:sz w:val="40"/>
          <w:szCs w:val="40"/>
        </w:rPr>
        <w:t>Grant</w:t>
      </w:r>
      <w:r w:rsidR="00F00211" w:rsidRPr="0083335B">
        <w:rPr>
          <w:sz w:val="40"/>
          <w:szCs w:val="40"/>
        </w:rPr>
        <w:t xml:space="preserve"> </w:t>
      </w:r>
      <w:r w:rsidR="00DE4CDC">
        <w:rPr>
          <w:sz w:val="40"/>
          <w:szCs w:val="40"/>
        </w:rPr>
        <w:t>Gu</w:t>
      </w:r>
      <w:r w:rsidR="00F00211" w:rsidRPr="0083335B">
        <w:rPr>
          <w:sz w:val="40"/>
          <w:szCs w:val="40"/>
        </w:rPr>
        <w:t xml:space="preserve">idelines </w:t>
      </w:r>
    </w:p>
    <w:p w:rsidR="00F00211" w:rsidRPr="0083335B" w:rsidRDefault="00F00211"/>
    <w:p w:rsidR="00846679" w:rsidRPr="0083335B" w:rsidRDefault="00846679" w:rsidP="00C72B8D">
      <w:pPr>
        <w:pStyle w:val="Heading2"/>
      </w:pPr>
    </w:p>
    <w:p w:rsidR="00846679" w:rsidRPr="0083335B" w:rsidRDefault="00846679" w:rsidP="00C72B8D">
      <w:pPr>
        <w:pStyle w:val="Heading2"/>
      </w:pPr>
    </w:p>
    <w:p w:rsidR="00846679" w:rsidRPr="0083335B" w:rsidRDefault="00846679" w:rsidP="00C72B8D">
      <w:pPr>
        <w:pStyle w:val="Heading2"/>
      </w:pPr>
    </w:p>
    <w:p w:rsidR="00846679" w:rsidRPr="0083335B" w:rsidRDefault="00846679" w:rsidP="00846679"/>
    <w:p w:rsidR="00846679" w:rsidRPr="0083335B" w:rsidRDefault="00846679" w:rsidP="00C72B8D">
      <w:pPr>
        <w:pStyle w:val="Heading2"/>
      </w:pPr>
    </w:p>
    <w:p w:rsidR="00846679" w:rsidRPr="0083335B" w:rsidRDefault="00846679" w:rsidP="00C72B8D">
      <w:pPr>
        <w:pStyle w:val="Heading2"/>
      </w:pPr>
    </w:p>
    <w:p w:rsidR="00846679" w:rsidRPr="0083335B" w:rsidRDefault="00846679" w:rsidP="00846679"/>
    <w:p w:rsidR="00846679" w:rsidRPr="0083335B" w:rsidRDefault="00846679" w:rsidP="00846679"/>
    <w:p w:rsidR="00E6255E" w:rsidRPr="00970939" w:rsidRDefault="00E6255E" w:rsidP="0083335B">
      <w:pPr>
        <w:pStyle w:val="Heading2"/>
        <w:jc w:val="both"/>
        <w:rPr>
          <w:sz w:val="26"/>
          <w:szCs w:val="26"/>
        </w:rPr>
      </w:pPr>
      <w:r w:rsidRPr="00970939">
        <w:rPr>
          <w:sz w:val="26"/>
          <w:szCs w:val="26"/>
        </w:rPr>
        <w:lastRenderedPageBreak/>
        <w:t xml:space="preserve">Part </w:t>
      </w:r>
      <w:proofErr w:type="gramStart"/>
      <w:r w:rsidRPr="00970939">
        <w:rPr>
          <w:sz w:val="26"/>
          <w:szCs w:val="26"/>
        </w:rPr>
        <w:t>A</w:t>
      </w:r>
      <w:proofErr w:type="gramEnd"/>
      <w:r w:rsidRPr="00970939">
        <w:rPr>
          <w:sz w:val="26"/>
          <w:szCs w:val="26"/>
        </w:rPr>
        <w:t xml:space="preserve"> – </w:t>
      </w:r>
      <w:r w:rsidR="002F4AFB" w:rsidRPr="00970939">
        <w:rPr>
          <w:sz w:val="26"/>
          <w:szCs w:val="26"/>
        </w:rPr>
        <w:t>Program</w:t>
      </w:r>
      <w:r w:rsidR="00CC6DAC">
        <w:rPr>
          <w:sz w:val="26"/>
          <w:szCs w:val="26"/>
        </w:rPr>
        <w:t>me</w:t>
      </w:r>
      <w:r w:rsidRPr="00970939">
        <w:rPr>
          <w:sz w:val="26"/>
          <w:szCs w:val="26"/>
        </w:rPr>
        <w:t xml:space="preserve"> Information</w:t>
      </w:r>
      <w:r w:rsidR="00422436" w:rsidRPr="00970939">
        <w:rPr>
          <w:sz w:val="26"/>
          <w:szCs w:val="26"/>
        </w:rPr>
        <w:t xml:space="preserve"> </w:t>
      </w:r>
    </w:p>
    <w:p w:rsidR="00E6255E" w:rsidRPr="00970939" w:rsidRDefault="00E6255E" w:rsidP="0083335B">
      <w:pPr>
        <w:pStyle w:val="Heading3"/>
        <w:jc w:val="both"/>
        <w:rPr>
          <w:sz w:val="24"/>
        </w:rPr>
      </w:pPr>
      <w:r w:rsidRPr="00970939">
        <w:rPr>
          <w:sz w:val="24"/>
        </w:rPr>
        <w:t>Background</w:t>
      </w:r>
    </w:p>
    <w:p w:rsidR="00846679" w:rsidRPr="00970939" w:rsidRDefault="00846679" w:rsidP="00970939">
      <w:pPr>
        <w:jc w:val="both"/>
        <w:rPr>
          <w:rFonts w:ascii="Arial" w:hAnsi="Arial" w:cs="Arial"/>
          <w:sz w:val="22"/>
          <w:szCs w:val="22"/>
        </w:rPr>
      </w:pPr>
      <w:r w:rsidRPr="00970939">
        <w:rPr>
          <w:rFonts w:ascii="Arial" w:hAnsi="Arial" w:cs="Arial"/>
          <w:sz w:val="22"/>
          <w:szCs w:val="22"/>
        </w:rPr>
        <w:t>Without people being safe within their homes and communities</w:t>
      </w:r>
      <w:r w:rsidR="0041340F">
        <w:rPr>
          <w:rFonts w:ascii="Arial" w:hAnsi="Arial" w:cs="Arial"/>
          <w:sz w:val="22"/>
          <w:szCs w:val="22"/>
        </w:rPr>
        <w:t>,</w:t>
      </w:r>
      <w:r w:rsidRPr="00970939">
        <w:rPr>
          <w:rFonts w:ascii="Arial" w:hAnsi="Arial" w:cs="Arial"/>
          <w:sz w:val="22"/>
          <w:szCs w:val="22"/>
        </w:rPr>
        <w:t xml:space="preserve"> it is difficult to implement other initiatives such as economic development, healthy lifestyles</w:t>
      </w:r>
      <w:r w:rsidR="0041340F">
        <w:rPr>
          <w:rFonts w:ascii="Arial" w:hAnsi="Arial" w:cs="Arial"/>
          <w:sz w:val="22"/>
          <w:szCs w:val="22"/>
        </w:rPr>
        <w:t xml:space="preserve"> and environmental management. </w:t>
      </w:r>
      <w:r w:rsidRPr="00970939">
        <w:rPr>
          <w:rFonts w:ascii="Arial" w:hAnsi="Arial" w:cs="Arial"/>
          <w:sz w:val="22"/>
          <w:szCs w:val="22"/>
        </w:rPr>
        <w:t>Whilst law and order are the primary functions of law enforcement agencies and the delivery of social service program</w:t>
      </w:r>
      <w:r w:rsidR="00CC6DAC">
        <w:rPr>
          <w:rFonts w:ascii="Arial" w:hAnsi="Arial" w:cs="Arial"/>
          <w:sz w:val="22"/>
          <w:szCs w:val="22"/>
        </w:rPr>
        <w:t>me</w:t>
      </w:r>
      <w:r w:rsidRPr="00970939">
        <w:rPr>
          <w:rFonts w:ascii="Arial" w:hAnsi="Arial" w:cs="Arial"/>
          <w:sz w:val="22"/>
          <w:szCs w:val="22"/>
        </w:rPr>
        <w:t xml:space="preserve">s reside with other agencies, there is a need for policy influence and monitoring - to develop standards for provision of services and facilities, advocate on behalf of communities and the region, </w:t>
      </w:r>
      <w:r w:rsidR="0041340F">
        <w:rPr>
          <w:rFonts w:ascii="Arial" w:hAnsi="Arial" w:cs="Arial"/>
          <w:sz w:val="22"/>
          <w:szCs w:val="22"/>
        </w:rPr>
        <w:t xml:space="preserve">and ensure standards are met. </w:t>
      </w:r>
      <w:r w:rsidRPr="00970939">
        <w:rPr>
          <w:rFonts w:ascii="Arial" w:hAnsi="Arial" w:cs="Arial"/>
          <w:sz w:val="22"/>
          <w:szCs w:val="22"/>
        </w:rPr>
        <w:t xml:space="preserve">The </w:t>
      </w:r>
      <w:r w:rsidR="00CC6DAC">
        <w:rPr>
          <w:rFonts w:ascii="Arial" w:hAnsi="Arial" w:cs="Arial"/>
          <w:sz w:val="22"/>
          <w:szCs w:val="22"/>
        </w:rPr>
        <w:t>Torres Strait Regional Authority (</w:t>
      </w:r>
      <w:proofErr w:type="spellStart"/>
      <w:r w:rsidRPr="00970939">
        <w:rPr>
          <w:rFonts w:ascii="Arial" w:hAnsi="Arial" w:cs="Arial"/>
          <w:sz w:val="22"/>
          <w:szCs w:val="22"/>
        </w:rPr>
        <w:t>TSRA</w:t>
      </w:r>
      <w:proofErr w:type="spellEnd"/>
      <w:r w:rsidR="00CC6DAC">
        <w:rPr>
          <w:rFonts w:ascii="Arial" w:hAnsi="Arial" w:cs="Arial"/>
          <w:sz w:val="22"/>
          <w:szCs w:val="22"/>
        </w:rPr>
        <w:t>)</w:t>
      </w:r>
      <w:r w:rsidRPr="00970939">
        <w:rPr>
          <w:rFonts w:ascii="Arial" w:hAnsi="Arial" w:cs="Arial"/>
          <w:sz w:val="22"/>
          <w:szCs w:val="22"/>
        </w:rPr>
        <w:t xml:space="preserve"> will undertake such a role, utilising integrated service delivery forums.</w:t>
      </w:r>
    </w:p>
    <w:p w:rsidR="00846679" w:rsidRPr="00970939" w:rsidRDefault="00846679" w:rsidP="00970939">
      <w:pPr>
        <w:jc w:val="both"/>
        <w:rPr>
          <w:rFonts w:ascii="Arial" w:hAnsi="Arial" w:cs="Arial"/>
          <w:sz w:val="22"/>
          <w:szCs w:val="22"/>
        </w:rPr>
      </w:pPr>
    </w:p>
    <w:p w:rsidR="003915E3" w:rsidRPr="00970939" w:rsidRDefault="00846679" w:rsidP="00970939">
      <w:pPr>
        <w:jc w:val="both"/>
        <w:rPr>
          <w:rFonts w:ascii="Arial" w:hAnsi="Arial" w:cs="Arial"/>
          <w:sz w:val="22"/>
          <w:szCs w:val="22"/>
        </w:rPr>
      </w:pPr>
      <w:r w:rsidRPr="00970939">
        <w:rPr>
          <w:rFonts w:ascii="Arial" w:hAnsi="Arial" w:cs="Arial"/>
          <w:sz w:val="22"/>
          <w:szCs w:val="22"/>
        </w:rPr>
        <w:t xml:space="preserve">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will also contribute directly to some public and community safety and accessibility outcomes through funding and su</w:t>
      </w:r>
      <w:r w:rsidR="0041340F">
        <w:rPr>
          <w:rFonts w:ascii="Arial" w:hAnsi="Arial" w:cs="Arial"/>
          <w:sz w:val="22"/>
          <w:szCs w:val="22"/>
        </w:rPr>
        <w:t xml:space="preserve">pport to targeted initiatives. </w:t>
      </w:r>
      <w:r w:rsidRPr="00970939">
        <w:rPr>
          <w:rFonts w:ascii="Arial" w:hAnsi="Arial" w:cs="Arial"/>
          <w:sz w:val="22"/>
          <w:szCs w:val="22"/>
        </w:rPr>
        <w:t>Some of these initiatives will involve infrastructure or equipment (including transportation related), others may be focused on awareness raising and capacity building</w:t>
      </w:r>
      <w:r w:rsidR="0041340F">
        <w:rPr>
          <w:rFonts w:ascii="Arial" w:hAnsi="Arial" w:cs="Arial"/>
          <w:sz w:val="22"/>
          <w:szCs w:val="22"/>
        </w:rPr>
        <w:t xml:space="preserve"> (e.g. in emergency response). </w:t>
      </w:r>
      <w:r w:rsidRPr="00970939">
        <w:rPr>
          <w:rFonts w:ascii="Arial" w:hAnsi="Arial" w:cs="Arial"/>
          <w:sz w:val="22"/>
          <w:szCs w:val="22"/>
        </w:rPr>
        <w:t xml:space="preserve">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will also contribute funding to proactive and reactive social service providers implementing critical program</w:t>
      </w:r>
      <w:r w:rsidR="00CC6DAC">
        <w:rPr>
          <w:rFonts w:ascii="Arial" w:hAnsi="Arial" w:cs="Arial"/>
          <w:sz w:val="22"/>
          <w:szCs w:val="22"/>
        </w:rPr>
        <w:t>me</w:t>
      </w:r>
      <w:r w:rsidRPr="00970939">
        <w:rPr>
          <w:rFonts w:ascii="Arial" w:hAnsi="Arial" w:cs="Arial"/>
          <w:sz w:val="22"/>
          <w:szCs w:val="22"/>
        </w:rPr>
        <w:t>s, which will include support for capacity building and training initiatives.</w:t>
      </w:r>
      <w:r w:rsidR="0041340F">
        <w:rPr>
          <w:rFonts w:ascii="Arial" w:hAnsi="Arial" w:cs="Arial"/>
          <w:sz w:val="22"/>
          <w:szCs w:val="22"/>
        </w:rPr>
        <w:t xml:space="preserve"> </w:t>
      </w:r>
      <w:r w:rsidR="007E7DEB" w:rsidRPr="00970939">
        <w:rPr>
          <w:rFonts w:ascii="Arial" w:hAnsi="Arial" w:cs="Arial"/>
          <w:sz w:val="22"/>
          <w:szCs w:val="22"/>
        </w:rPr>
        <w:t xml:space="preserve">This </w:t>
      </w:r>
      <w:r w:rsidR="003915E3" w:rsidRPr="00970939">
        <w:rPr>
          <w:rFonts w:ascii="Arial" w:hAnsi="Arial" w:cs="Arial"/>
          <w:sz w:val="22"/>
          <w:szCs w:val="22"/>
        </w:rPr>
        <w:t xml:space="preserve">is one of the key priority areas noted in the </w:t>
      </w:r>
      <w:hyperlink r:id="rId9" w:history="1">
        <w:r w:rsidR="0041340F" w:rsidRPr="001945B4">
          <w:rPr>
            <w:rStyle w:val="Hyperlink"/>
            <w:rFonts w:ascii="Arial" w:hAnsi="Arial" w:cs="Arial"/>
            <w:sz w:val="22"/>
            <w:szCs w:val="22"/>
          </w:rPr>
          <w:t>Torres Strait and Northern Peninsula Regional Plan 2009-2029</w:t>
        </w:r>
      </w:hyperlink>
      <w:r w:rsidR="0041340F" w:rsidRPr="001945B4">
        <w:rPr>
          <w:rFonts w:ascii="Arial" w:hAnsi="Arial" w:cs="Arial"/>
          <w:sz w:val="22"/>
          <w:szCs w:val="22"/>
        </w:rPr>
        <w:t xml:space="preserve"> </w:t>
      </w:r>
      <w:r w:rsidR="003915E3" w:rsidRPr="00970939">
        <w:rPr>
          <w:rFonts w:ascii="Arial" w:hAnsi="Arial" w:cs="Arial"/>
          <w:sz w:val="22"/>
          <w:szCs w:val="22"/>
        </w:rPr>
        <w:t xml:space="preserve">and the </w:t>
      </w:r>
      <w:hyperlink r:id="rId10" w:history="1">
        <w:r w:rsidR="0041340F" w:rsidRPr="001945B4">
          <w:rPr>
            <w:rStyle w:val="Hyperlink"/>
            <w:rFonts w:ascii="Arial" w:hAnsi="Arial" w:cs="Arial"/>
            <w:sz w:val="22"/>
            <w:szCs w:val="22"/>
          </w:rPr>
          <w:t xml:space="preserve">Torres Strait Development Plan </w:t>
        </w:r>
        <w:r w:rsidR="00487D87">
          <w:rPr>
            <w:rStyle w:val="Hyperlink"/>
            <w:rFonts w:ascii="Arial" w:hAnsi="Arial" w:cs="Arial"/>
            <w:sz w:val="22"/>
            <w:szCs w:val="22"/>
          </w:rPr>
          <w:t>2014-2018</w:t>
        </w:r>
        <w:r w:rsidR="0041340F" w:rsidRPr="001945B4">
          <w:rPr>
            <w:rStyle w:val="Hyperlink"/>
            <w:rFonts w:ascii="Arial" w:hAnsi="Arial" w:cs="Arial"/>
            <w:sz w:val="22"/>
            <w:szCs w:val="22"/>
          </w:rPr>
          <w:t>.</w:t>
        </w:r>
      </w:hyperlink>
    </w:p>
    <w:p w:rsidR="00846679" w:rsidRPr="00970939" w:rsidRDefault="00846679" w:rsidP="0083335B">
      <w:pPr>
        <w:jc w:val="both"/>
        <w:rPr>
          <w:rFonts w:ascii="Arial" w:hAnsi="Arial" w:cs="Arial"/>
        </w:rPr>
      </w:pPr>
    </w:p>
    <w:p w:rsidR="00E6255E" w:rsidRPr="00970939" w:rsidRDefault="002F4AFB" w:rsidP="0083335B">
      <w:pPr>
        <w:pStyle w:val="Heading3"/>
        <w:jc w:val="both"/>
        <w:rPr>
          <w:sz w:val="24"/>
        </w:rPr>
      </w:pPr>
      <w:r w:rsidRPr="00970939">
        <w:rPr>
          <w:sz w:val="24"/>
        </w:rPr>
        <w:t>Program</w:t>
      </w:r>
      <w:r w:rsidR="00CC6DAC">
        <w:rPr>
          <w:sz w:val="24"/>
        </w:rPr>
        <w:t>me</w:t>
      </w:r>
      <w:r w:rsidRPr="00970939">
        <w:rPr>
          <w:sz w:val="24"/>
        </w:rPr>
        <w:t xml:space="preserve"> Ai</w:t>
      </w:r>
      <w:r w:rsidR="00E6255E" w:rsidRPr="00970939">
        <w:rPr>
          <w:sz w:val="24"/>
        </w:rPr>
        <w:t xml:space="preserve">ms </w:t>
      </w:r>
    </w:p>
    <w:p w:rsidR="00846679" w:rsidRPr="00970939" w:rsidRDefault="00846679" w:rsidP="0083335B">
      <w:pPr>
        <w:jc w:val="both"/>
        <w:rPr>
          <w:rFonts w:ascii="Arial" w:hAnsi="Arial" w:cs="Arial"/>
          <w:sz w:val="22"/>
          <w:szCs w:val="22"/>
        </w:rPr>
      </w:pPr>
      <w:r w:rsidRPr="00970939">
        <w:rPr>
          <w:rFonts w:ascii="Arial" w:hAnsi="Arial" w:cs="Arial"/>
          <w:sz w:val="22"/>
          <w:szCs w:val="22"/>
        </w:rPr>
        <w:t xml:space="preserve">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will contribute to the safety of communities by:</w:t>
      </w:r>
    </w:p>
    <w:p w:rsidR="00846679" w:rsidRPr="00970939" w:rsidRDefault="007255BD" w:rsidP="0083335B">
      <w:pPr>
        <w:numPr>
          <w:ilvl w:val="0"/>
          <w:numId w:val="3"/>
        </w:numPr>
        <w:spacing w:before="120"/>
        <w:jc w:val="both"/>
        <w:rPr>
          <w:rFonts w:ascii="Arial" w:hAnsi="Arial" w:cs="Arial"/>
          <w:sz w:val="22"/>
          <w:szCs w:val="22"/>
        </w:rPr>
      </w:pPr>
      <w:r w:rsidRPr="00970939">
        <w:rPr>
          <w:rFonts w:ascii="Arial" w:hAnsi="Arial" w:cs="Arial"/>
          <w:sz w:val="22"/>
          <w:szCs w:val="22"/>
        </w:rPr>
        <w:t>Contributing to the d</w:t>
      </w:r>
      <w:r w:rsidR="00846679" w:rsidRPr="00970939">
        <w:rPr>
          <w:rFonts w:ascii="Arial" w:hAnsi="Arial" w:cs="Arial"/>
          <w:sz w:val="22"/>
          <w:szCs w:val="22"/>
        </w:rPr>
        <w:t>evelop</w:t>
      </w:r>
      <w:r w:rsidRPr="00970939">
        <w:rPr>
          <w:rFonts w:ascii="Arial" w:hAnsi="Arial" w:cs="Arial"/>
          <w:sz w:val="22"/>
          <w:szCs w:val="22"/>
        </w:rPr>
        <w:t>ment of</w:t>
      </w:r>
      <w:r w:rsidR="00846679" w:rsidRPr="00970939">
        <w:rPr>
          <w:rFonts w:ascii="Arial" w:hAnsi="Arial" w:cs="Arial"/>
          <w:sz w:val="22"/>
          <w:szCs w:val="22"/>
        </w:rPr>
        <w:t xml:space="preserve"> standards for the provision of all mainstream social services and facilities including emergency response services</w:t>
      </w:r>
      <w:r w:rsidR="002D3A56" w:rsidRPr="00970939">
        <w:rPr>
          <w:rFonts w:ascii="Arial" w:hAnsi="Arial" w:cs="Arial"/>
          <w:sz w:val="22"/>
          <w:szCs w:val="22"/>
        </w:rPr>
        <w:t xml:space="preserve">, through engagement with responsible agencies. </w:t>
      </w:r>
      <w:r w:rsidR="000504A7" w:rsidRPr="00970939">
        <w:rPr>
          <w:rFonts w:ascii="Arial" w:hAnsi="Arial" w:cs="Arial"/>
          <w:sz w:val="22"/>
          <w:szCs w:val="22"/>
        </w:rPr>
        <w:t>.</w:t>
      </w:r>
    </w:p>
    <w:p w:rsidR="00846679" w:rsidRPr="00970939" w:rsidRDefault="00846679" w:rsidP="0083335B">
      <w:pPr>
        <w:numPr>
          <w:ilvl w:val="0"/>
          <w:numId w:val="3"/>
        </w:numPr>
        <w:spacing w:before="120"/>
        <w:jc w:val="both"/>
        <w:rPr>
          <w:rFonts w:ascii="Arial" w:hAnsi="Arial" w:cs="Arial"/>
          <w:b/>
          <w:sz w:val="22"/>
          <w:szCs w:val="22"/>
        </w:rPr>
      </w:pPr>
      <w:r w:rsidRPr="00970939">
        <w:rPr>
          <w:rFonts w:ascii="Arial" w:hAnsi="Arial" w:cs="Arial"/>
          <w:sz w:val="22"/>
          <w:szCs w:val="22"/>
        </w:rPr>
        <w:t>Undertaking a policy advocacy</w:t>
      </w:r>
      <w:r w:rsidR="004B01E3">
        <w:rPr>
          <w:rFonts w:ascii="Arial" w:hAnsi="Arial" w:cs="Arial"/>
          <w:sz w:val="22"/>
          <w:szCs w:val="22"/>
        </w:rPr>
        <w:t xml:space="preserve">, </w:t>
      </w:r>
      <w:r w:rsidRPr="00970939">
        <w:rPr>
          <w:rFonts w:ascii="Arial" w:hAnsi="Arial" w:cs="Arial"/>
          <w:sz w:val="22"/>
          <w:szCs w:val="22"/>
        </w:rPr>
        <w:t>monitoring</w:t>
      </w:r>
      <w:r w:rsidR="004B01E3">
        <w:rPr>
          <w:rFonts w:ascii="Arial" w:hAnsi="Arial" w:cs="Arial"/>
          <w:sz w:val="22"/>
          <w:szCs w:val="22"/>
        </w:rPr>
        <w:t xml:space="preserve"> and support</w:t>
      </w:r>
      <w:r w:rsidRPr="00970939">
        <w:rPr>
          <w:rFonts w:ascii="Arial" w:hAnsi="Arial" w:cs="Arial"/>
          <w:sz w:val="22"/>
          <w:szCs w:val="22"/>
        </w:rPr>
        <w:t xml:space="preserve"> role</w:t>
      </w:r>
      <w:r w:rsidR="004B01E3">
        <w:rPr>
          <w:rFonts w:ascii="Arial" w:hAnsi="Arial" w:cs="Arial"/>
          <w:sz w:val="22"/>
          <w:szCs w:val="22"/>
        </w:rPr>
        <w:t xml:space="preserve"> with respect to</w:t>
      </w:r>
      <w:r w:rsidRPr="00970939">
        <w:rPr>
          <w:rFonts w:ascii="Arial" w:hAnsi="Arial" w:cs="Arial"/>
          <w:sz w:val="22"/>
          <w:szCs w:val="22"/>
        </w:rPr>
        <w:t xml:space="preserve"> of mainstream services</w:t>
      </w:r>
      <w:r w:rsidR="002D3A56" w:rsidRPr="00970939">
        <w:rPr>
          <w:rFonts w:ascii="Arial" w:hAnsi="Arial" w:cs="Arial"/>
          <w:sz w:val="22"/>
          <w:szCs w:val="22"/>
        </w:rPr>
        <w:t>, advocatin</w:t>
      </w:r>
      <w:r w:rsidR="00970939">
        <w:rPr>
          <w:rFonts w:ascii="Arial" w:hAnsi="Arial" w:cs="Arial"/>
          <w:sz w:val="22"/>
          <w:szCs w:val="22"/>
        </w:rPr>
        <w:t xml:space="preserve">g and acting as solution broker </w:t>
      </w:r>
      <w:r w:rsidRPr="00970939">
        <w:rPr>
          <w:rFonts w:ascii="Arial" w:hAnsi="Arial" w:cs="Arial"/>
          <w:sz w:val="22"/>
          <w:szCs w:val="22"/>
        </w:rPr>
        <w:t xml:space="preserve">on behalf of communities and the region, </w:t>
      </w:r>
      <w:r w:rsidR="004B01E3">
        <w:rPr>
          <w:rFonts w:ascii="Arial" w:hAnsi="Arial" w:cs="Arial"/>
          <w:sz w:val="22"/>
          <w:szCs w:val="22"/>
        </w:rPr>
        <w:t>using I</w:t>
      </w:r>
      <w:r w:rsidR="002D3A56" w:rsidRPr="00970939">
        <w:rPr>
          <w:rFonts w:ascii="Arial" w:hAnsi="Arial" w:cs="Arial"/>
          <w:sz w:val="22"/>
          <w:szCs w:val="22"/>
        </w:rPr>
        <w:t xml:space="preserve">ntegrated </w:t>
      </w:r>
      <w:r w:rsidR="004B01E3">
        <w:rPr>
          <w:rFonts w:ascii="Arial" w:hAnsi="Arial" w:cs="Arial"/>
          <w:sz w:val="22"/>
          <w:szCs w:val="22"/>
        </w:rPr>
        <w:t>S</w:t>
      </w:r>
      <w:r w:rsidR="002D3A56" w:rsidRPr="00970939">
        <w:rPr>
          <w:rFonts w:ascii="Arial" w:hAnsi="Arial" w:cs="Arial"/>
          <w:sz w:val="22"/>
          <w:szCs w:val="22"/>
        </w:rPr>
        <w:t xml:space="preserve">ervice </w:t>
      </w:r>
      <w:r w:rsidR="004B01E3">
        <w:rPr>
          <w:rFonts w:ascii="Arial" w:hAnsi="Arial" w:cs="Arial"/>
          <w:sz w:val="22"/>
          <w:szCs w:val="22"/>
        </w:rPr>
        <w:t>D</w:t>
      </w:r>
      <w:r w:rsidR="002D3A56" w:rsidRPr="00970939">
        <w:rPr>
          <w:rFonts w:ascii="Arial" w:hAnsi="Arial" w:cs="Arial"/>
          <w:sz w:val="22"/>
          <w:szCs w:val="22"/>
        </w:rPr>
        <w:t xml:space="preserve">elivery forums.  </w:t>
      </w:r>
    </w:p>
    <w:p w:rsidR="007255BD" w:rsidRPr="00970939" w:rsidRDefault="007255BD" w:rsidP="007C349C">
      <w:pPr>
        <w:numPr>
          <w:ilvl w:val="0"/>
          <w:numId w:val="3"/>
        </w:numPr>
        <w:spacing w:before="120" w:after="240"/>
        <w:jc w:val="both"/>
        <w:rPr>
          <w:rFonts w:ascii="Arial" w:hAnsi="Arial" w:cs="Arial"/>
          <w:sz w:val="22"/>
          <w:szCs w:val="22"/>
        </w:rPr>
      </w:pPr>
      <w:r w:rsidRPr="00970939">
        <w:rPr>
          <w:rFonts w:ascii="Arial" w:hAnsi="Arial" w:cs="Arial"/>
          <w:sz w:val="22"/>
          <w:szCs w:val="22"/>
        </w:rPr>
        <w:t xml:space="preserve">Providing direct funding and resource support for some social support services, and infrastructure, facilities and equipment, that contribute to improved safety and accessibility of communities and families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will not provide mainstream social or community services)</w:t>
      </w:r>
      <w:r w:rsidR="004B01E3">
        <w:rPr>
          <w:rFonts w:ascii="Arial" w:hAnsi="Arial" w:cs="Arial"/>
          <w:sz w:val="22"/>
          <w:szCs w:val="22"/>
        </w:rPr>
        <w:t>.</w:t>
      </w:r>
      <w:r w:rsidRPr="00970939">
        <w:rPr>
          <w:rFonts w:ascii="Arial" w:hAnsi="Arial" w:cs="Arial"/>
          <w:sz w:val="22"/>
          <w:szCs w:val="22"/>
        </w:rPr>
        <w:t xml:space="preserve"> </w:t>
      </w:r>
    </w:p>
    <w:p w:rsidR="007C349C" w:rsidRDefault="007C349C" w:rsidP="007C349C">
      <w:pPr>
        <w:pStyle w:val="Heading3"/>
        <w:spacing w:before="0" w:after="0"/>
        <w:jc w:val="both"/>
        <w:rPr>
          <w:sz w:val="24"/>
        </w:rPr>
      </w:pPr>
    </w:p>
    <w:p w:rsidR="00422436" w:rsidRPr="00970939" w:rsidRDefault="00422436" w:rsidP="007C349C">
      <w:pPr>
        <w:pStyle w:val="Heading3"/>
        <w:spacing w:before="0"/>
        <w:jc w:val="both"/>
        <w:rPr>
          <w:sz w:val="24"/>
        </w:rPr>
      </w:pPr>
      <w:r w:rsidRPr="00970939">
        <w:rPr>
          <w:sz w:val="24"/>
        </w:rPr>
        <w:t>Planned benefits</w:t>
      </w:r>
    </w:p>
    <w:p w:rsidR="00846679" w:rsidRPr="00970939" w:rsidRDefault="004B01E3" w:rsidP="0083335B">
      <w:pPr>
        <w:jc w:val="both"/>
        <w:rPr>
          <w:rFonts w:ascii="Arial" w:hAnsi="Arial" w:cs="Arial"/>
          <w:sz w:val="22"/>
          <w:u w:val="single"/>
        </w:rPr>
      </w:pPr>
      <w:r>
        <w:rPr>
          <w:rFonts w:ascii="Arial" w:hAnsi="Arial" w:cs="Arial"/>
          <w:sz w:val="22"/>
          <w:u w:val="single"/>
        </w:rPr>
        <w:t>2014-2018:</w:t>
      </w:r>
    </w:p>
    <w:p w:rsidR="004967AA" w:rsidRPr="00970939" w:rsidRDefault="004B01E3" w:rsidP="00970939">
      <w:pPr>
        <w:numPr>
          <w:ilvl w:val="0"/>
          <w:numId w:val="13"/>
        </w:numPr>
        <w:spacing w:before="120"/>
        <w:jc w:val="both"/>
        <w:rPr>
          <w:rFonts w:ascii="Arial" w:hAnsi="Arial" w:cs="Arial"/>
          <w:sz w:val="22"/>
          <w:szCs w:val="22"/>
        </w:rPr>
      </w:pPr>
      <w:r>
        <w:rPr>
          <w:rFonts w:ascii="Arial" w:hAnsi="Arial" w:cs="Arial"/>
          <w:sz w:val="22"/>
          <w:szCs w:val="22"/>
        </w:rPr>
        <w:t>Increased effectiveness of social services support to communities</w:t>
      </w:r>
    </w:p>
    <w:p w:rsidR="004967AA" w:rsidRPr="00970939" w:rsidRDefault="004B01E3" w:rsidP="00970939">
      <w:pPr>
        <w:numPr>
          <w:ilvl w:val="0"/>
          <w:numId w:val="13"/>
        </w:numPr>
        <w:spacing w:before="120"/>
        <w:jc w:val="both"/>
        <w:rPr>
          <w:rFonts w:ascii="Arial" w:hAnsi="Arial" w:cs="Arial"/>
          <w:sz w:val="22"/>
          <w:szCs w:val="22"/>
        </w:rPr>
      </w:pPr>
      <w:r>
        <w:rPr>
          <w:rFonts w:ascii="Arial" w:hAnsi="Arial" w:cs="Arial"/>
          <w:sz w:val="22"/>
          <w:szCs w:val="22"/>
        </w:rPr>
        <w:t xml:space="preserve">Improved capacity of social services providers to respond to community </w:t>
      </w:r>
      <w:proofErr w:type="gramStart"/>
      <w:r>
        <w:rPr>
          <w:rFonts w:ascii="Arial" w:hAnsi="Arial" w:cs="Arial"/>
          <w:sz w:val="22"/>
          <w:szCs w:val="22"/>
        </w:rPr>
        <w:t>identified</w:t>
      </w:r>
      <w:proofErr w:type="gramEnd"/>
      <w:r>
        <w:rPr>
          <w:rFonts w:ascii="Arial" w:hAnsi="Arial" w:cs="Arial"/>
          <w:sz w:val="22"/>
          <w:szCs w:val="22"/>
        </w:rPr>
        <w:t xml:space="preserve"> needs.</w:t>
      </w:r>
    </w:p>
    <w:p w:rsidR="004967AA" w:rsidRPr="00970939" w:rsidRDefault="00846679" w:rsidP="00970939">
      <w:pPr>
        <w:numPr>
          <w:ilvl w:val="0"/>
          <w:numId w:val="13"/>
        </w:numPr>
        <w:spacing w:before="120"/>
        <w:jc w:val="both"/>
        <w:rPr>
          <w:rFonts w:ascii="Arial" w:hAnsi="Arial" w:cs="Arial"/>
          <w:sz w:val="22"/>
          <w:szCs w:val="22"/>
        </w:rPr>
      </w:pPr>
      <w:r w:rsidRPr="00970939">
        <w:rPr>
          <w:rFonts w:ascii="Arial" w:hAnsi="Arial" w:cs="Arial"/>
          <w:sz w:val="22"/>
          <w:szCs w:val="22"/>
        </w:rPr>
        <w:t>Increased level of family and individual part</w:t>
      </w:r>
      <w:r w:rsidR="004B01E3">
        <w:rPr>
          <w:rFonts w:ascii="Arial" w:hAnsi="Arial" w:cs="Arial"/>
          <w:sz w:val="22"/>
          <w:szCs w:val="22"/>
        </w:rPr>
        <w:t>icipation in community events.</w:t>
      </w:r>
    </w:p>
    <w:p w:rsidR="004967AA" w:rsidRPr="00970939" w:rsidRDefault="00846679" w:rsidP="00970939">
      <w:pPr>
        <w:numPr>
          <w:ilvl w:val="0"/>
          <w:numId w:val="13"/>
        </w:numPr>
        <w:spacing w:before="120"/>
        <w:jc w:val="both"/>
        <w:rPr>
          <w:rFonts w:ascii="Arial" w:hAnsi="Arial" w:cs="Arial"/>
          <w:sz w:val="22"/>
          <w:szCs w:val="22"/>
        </w:rPr>
      </w:pPr>
      <w:r w:rsidRPr="00970939">
        <w:rPr>
          <w:rFonts w:ascii="Arial" w:hAnsi="Arial" w:cs="Arial"/>
          <w:sz w:val="22"/>
          <w:szCs w:val="22"/>
        </w:rPr>
        <w:t>Increased skills development and employment</w:t>
      </w:r>
      <w:r w:rsidR="004B01E3">
        <w:rPr>
          <w:rFonts w:ascii="Arial" w:hAnsi="Arial" w:cs="Arial"/>
          <w:sz w:val="22"/>
          <w:szCs w:val="22"/>
        </w:rPr>
        <w:t xml:space="preserve"> opportunity for </w:t>
      </w:r>
      <w:r w:rsidRPr="00970939">
        <w:rPr>
          <w:rFonts w:ascii="Arial" w:hAnsi="Arial" w:cs="Arial"/>
          <w:sz w:val="22"/>
          <w:szCs w:val="22"/>
        </w:rPr>
        <w:t>community me</w:t>
      </w:r>
      <w:r w:rsidR="004B01E3">
        <w:rPr>
          <w:rFonts w:ascii="Arial" w:hAnsi="Arial" w:cs="Arial"/>
          <w:sz w:val="22"/>
          <w:szCs w:val="22"/>
        </w:rPr>
        <w:t xml:space="preserve">mbers </w:t>
      </w:r>
      <w:r w:rsidRPr="00970939">
        <w:rPr>
          <w:rFonts w:ascii="Arial" w:hAnsi="Arial" w:cs="Arial"/>
          <w:sz w:val="22"/>
          <w:szCs w:val="22"/>
        </w:rPr>
        <w:t>delivering social support services</w:t>
      </w:r>
    </w:p>
    <w:p w:rsidR="00846679" w:rsidRPr="00970939" w:rsidRDefault="004B01E3" w:rsidP="0083335B">
      <w:pPr>
        <w:spacing w:before="120"/>
        <w:jc w:val="both"/>
        <w:rPr>
          <w:rFonts w:ascii="Arial" w:hAnsi="Arial" w:cs="Arial"/>
          <w:sz w:val="22"/>
          <w:u w:val="single"/>
        </w:rPr>
      </w:pPr>
      <w:r>
        <w:rPr>
          <w:rFonts w:ascii="Arial" w:hAnsi="Arial" w:cs="Arial"/>
          <w:sz w:val="22"/>
          <w:u w:val="single"/>
        </w:rPr>
        <w:t>Future Development Plans</w:t>
      </w:r>
    </w:p>
    <w:p w:rsidR="004967AA" w:rsidRPr="00970939" w:rsidRDefault="004B01E3">
      <w:pPr>
        <w:numPr>
          <w:ilvl w:val="0"/>
          <w:numId w:val="12"/>
        </w:numPr>
        <w:spacing w:before="120"/>
        <w:jc w:val="both"/>
        <w:rPr>
          <w:rFonts w:ascii="Arial" w:hAnsi="Arial" w:cs="Arial"/>
          <w:b/>
          <w:sz w:val="22"/>
          <w:szCs w:val="22"/>
        </w:rPr>
      </w:pPr>
      <w:r>
        <w:rPr>
          <w:rFonts w:ascii="Arial" w:hAnsi="Arial" w:cs="Arial"/>
          <w:sz w:val="22"/>
          <w:szCs w:val="22"/>
        </w:rPr>
        <w:t>Increased use of proactive and social support services by five per cent.</w:t>
      </w:r>
    </w:p>
    <w:p w:rsidR="004967AA" w:rsidRPr="00970939" w:rsidRDefault="004B01E3">
      <w:pPr>
        <w:numPr>
          <w:ilvl w:val="0"/>
          <w:numId w:val="12"/>
        </w:numPr>
        <w:spacing w:before="120"/>
        <w:jc w:val="both"/>
        <w:rPr>
          <w:rFonts w:ascii="Arial" w:hAnsi="Arial" w:cs="Arial"/>
          <w:b/>
          <w:sz w:val="22"/>
          <w:szCs w:val="22"/>
        </w:rPr>
      </w:pPr>
      <w:r>
        <w:rPr>
          <w:rFonts w:ascii="Arial" w:hAnsi="Arial" w:cs="Arial"/>
          <w:sz w:val="22"/>
          <w:szCs w:val="22"/>
        </w:rPr>
        <w:lastRenderedPageBreak/>
        <w:t>Increased participation in social and cultural activities by community by five per cent.</w:t>
      </w:r>
    </w:p>
    <w:p w:rsidR="004967AA" w:rsidRPr="009328C6" w:rsidRDefault="004B01E3">
      <w:pPr>
        <w:numPr>
          <w:ilvl w:val="0"/>
          <w:numId w:val="12"/>
        </w:numPr>
        <w:spacing w:before="120"/>
        <w:jc w:val="both"/>
        <w:rPr>
          <w:rFonts w:ascii="Arial" w:hAnsi="Arial" w:cs="Arial"/>
          <w:b/>
          <w:sz w:val="22"/>
          <w:szCs w:val="22"/>
        </w:rPr>
      </w:pPr>
      <w:r>
        <w:rPr>
          <w:rFonts w:ascii="Arial" w:hAnsi="Arial" w:cs="Arial"/>
          <w:sz w:val="22"/>
          <w:szCs w:val="22"/>
        </w:rPr>
        <w:t>Improved access to sea transport and emergency services is report through the Integrated Service Delivery (</w:t>
      </w:r>
      <w:proofErr w:type="spellStart"/>
      <w:r>
        <w:rPr>
          <w:rFonts w:ascii="Arial" w:hAnsi="Arial" w:cs="Arial"/>
          <w:sz w:val="22"/>
          <w:szCs w:val="22"/>
        </w:rPr>
        <w:t>ISD</w:t>
      </w:r>
      <w:proofErr w:type="spellEnd"/>
      <w:r>
        <w:rPr>
          <w:rFonts w:ascii="Arial" w:hAnsi="Arial" w:cs="Arial"/>
          <w:sz w:val="22"/>
          <w:szCs w:val="22"/>
        </w:rPr>
        <w:t>) evaluations.</w:t>
      </w:r>
    </w:p>
    <w:p w:rsidR="009328C6" w:rsidRPr="00970939" w:rsidRDefault="009328C6" w:rsidP="009328C6">
      <w:pPr>
        <w:pBdr>
          <w:bottom w:val="single" w:sz="4" w:space="1" w:color="auto"/>
        </w:pBdr>
        <w:spacing w:before="120"/>
        <w:jc w:val="both"/>
        <w:rPr>
          <w:rFonts w:ascii="Arial" w:hAnsi="Arial" w:cs="Arial"/>
          <w:b/>
          <w:sz w:val="22"/>
          <w:szCs w:val="22"/>
        </w:rPr>
      </w:pPr>
    </w:p>
    <w:p w:rsidR="0041340F" w:rsidRPr="0041340F" w:rsidRDefault="0041340F" w:rsidP="0083335B">
      <w:pPr>
        <w:pStyle w:val="Heading3"/>
        <w:jc w:val="both"/>
        <w:rPr>
          <w:i/>
          <w:sz w:val="24"/>
          <w:szCs w:val="24"/>
        </w:rPr>
      </w:pPr>
      <w:r>
        <w:rPr>
          <w:i/>
          <w:sz w:val="24"/>
          <w:szCs w:val="24"/>
        </w:rPr>
        <w:t>Part B – Initiative Information</w:t>
      </w:r>
    </w:p>
    <w:p w:rsidR="00E6255E" w:rsidRPr="00970939" w:rsidRDefault="00E6255E" w:rsidP="0083335B">
      <w:pPr>
        <w:pStyle w:val="Heading3"/>
        <w:jc w:val="both"/>
        <w:rPr>
          <w:sz w:val="24"/>
          <w:szCs w:val="24"/>
        </w:rPr>
      </w:pPr>
      <w:r w:rsidRPr="00970939">
        <w:rPr>
          <w:sz w:val="24"/>
          <w:szCs w:val="24"/>
        </w:rPr>
        <w:t>Who can apply</w:t>
      </w:r>
    </w:p>
    <w:p w:rsidR="00846679" w:rsidRDefault="00BB225A" w:rsidP="0083335B">
      <w:pPr>
        <w:jc w:val="both"/>
        <w:rPr>
          <w:rFonts w:ascii="Arial" w:hAnsi="Arial" w:cs="Arial"/>
          <w:sz w:val="22"/>
          <w:szCs w:val="22"/>
        </w:rPr>
      </w:pPr>
      <w:r w:rsidRPr="00970939">
        <w:rPr>
          <w:rFonts w:ascii="Arial" w:hAnsi="Arial" w:cs="Arial"/>
          <w:sz w:val="22"/>
          <w:szCs w:val="22"/>
        </w:rPr>
        <w:t xml:space="preserve">Indigenous </w:t>
      </w:r>
      <w:r w:rsidR="009B6745" w:rsidRPr="00970939">
        <w:rPr>
          <w:rFonts w:ascii="Arial" w:hAnsi="Arial" w:cs="Arial"/>
          <w:sz w:val="22"/>
          <w:szCs w:val="22"/>
        </w:rPr>
        <w:t>i</w:t>
      </w:r>
      <w:r w:rsidR="002F4AFB" w:rsidRPr="00970939">
        <w:rPr>
          <w:rFonts w:ascii="Arial" w:hAnsi="Arial" w:cs="Arial"/>
          <w:sz w:val="22"/>
          <w:szCs w:val="22"/>
        </w:rPr>
        <w:t>ncorporated organisations or individual</w:t>
      </w:r>
      <w:r w:rsidR="005D4C84">
        <w:rPr>
          <w:rFonts w:ascii="Arial" w:hAnsi="Arial" w:cs="Arial"/>
          <w:sz w:val="22"/>
          <w:szCs w:val="22"/>
        </w:rPr>
        <w:t>s</w:t>
      </w:r>
      <w:r w:rsidR="002F4AFB" w:rsidRPr="00970939">
        <w:rPr>
          <w:rFonts w:ascii="Arial" w:hAnsi="Arial" w:cs="Arial"/>
          <w:sz w:val="22"/>
          <w:szCs w:val="22"/>
        </w:rPr>
        <w:t xml:space="preserve"> </w:t>
      </w:r>
      <w:r w:rsidRPr="00970939">
        <w:rPr>
          <w:rFonts w:ascii="Arial" w:hAnsi="Arial" w:cs="Arial"/>
          <w:sz w:val="22"/>
          <w:szCs w:val="22"/>
        </w:rPr>
        <w:t xml:space="preserve">from the Torres Strait Region </w:t>
      </w:r>
      <w:r w:rsidR="007E7DEB" w:rsidRPr="00970939">
        <w:rPr>
          <w:rFonts w:ascii="Arial" w:hAnsi="Arial" w:cs="Arial"/>
          <w:sz w:val="22"/>
          <w:szCs w:val="22"/>
        </w:rPr>
        <w:t xml:space="preserve">and Northern Peninsula Area (Bamaga and </w:t>
      </w:r>
      <w:proofErr w:type="spellStart"/>
      <w:r w:rsidR="007E7DEB" w:rsidRPr="00970939">
        <w:rPr>
          <w:rFonts w:ascii="Arial" w:hAnsi="Arial" w:cs="Arial"/>
          <w:sz w:val="22"/>
          <w:szCs w:val="22"/>
        </w:rPr>
        <w:t>Seisia</w:t>
      </w:r>
      <w:proofErr w:type="spellEnd"/>
      <w:r w:rsidR="007E7DEB" w:rsidRPr="00970939">
        <w:rPr>
          <w:rFonts w:ascii="Arial" w:hAnsi="Arial" w:cs="Arial"/>
          <w:sz w:val="22"/>
          <w:szCs w:val="22"/>
        </w:rPr>
        <w:t xml:space="preserve"> communities only) c</w:t>
      </w:r>
      <w:r w:rsidR="002F4AFB" w:rsidRPr="00970939">
        <w:rPr>
          <w:rFonts w:ascii="Arial" w:hAnsi="Arial" w:cs="Arial"/>
          <w:sz w:val="22"/>
          <w:szCs w:val="22"/>
        </w:rPr>
        <w:t>an apply</w:t>
      </w:r>
      <w:r w:rsidR="00846679" w:rsidRPr="00970939">
        <w:rPr>
          <w:rFonts w:ascii="Arial" w:hAnsi="Arial" w:cs="Arial"/>
          <w:sz w:val="22"/>
          <w:szCs w:val="22"/>
        </w:rPr>
        <w:t>.</w:t>
      </w:r>
    </w:p>
    <w:p w:rsidR="00133B99" w:rsidRDefault="00133B99" w:rsidP="0083335B">
      <w:pPr>
        <w:jc w:val="both"/>
        <w:rPr>
          <w:rFonts w:ascii="Arial" w:hAnsi="Arial" w:cs="Arial"/>
          <w:sz w:val="22"/>
          <w:szCs w:val="22"/>
        </w:rPr>
      </w:pPr>
    </w:p>
    <w:p w:rsidR="00133B99" w:rsidRDefault="00133B99" w:rsidP="00133B99">
      <w:pPr>
        <w:jc w:val="both"/>
        <w:rPr>
          <w:rFonts w:ascii="Arial" w:hAnsi="Arial" w:cs="Arial"/>
          <w:sz w:val="22"/>
          <w:szCs w:val="22"/>
        </w:rPr>
      </w:pPr>
      <w:r>
        <w:rPr>
          <w:rFonts w:ascii="Arial" w:hAnsi="Arial" w:cs="Arial"/>
          <w:sz w:val="22"/>
          <w:szCs w:val="22"/>
        </w:rPr>
        <w:t xml:space="preserve">Board Members and employees of the Torres Strait Regional Authority are </w:t>
      </w:r>
      <w:r w:rsidRPr="007E4C9D">
        <w:rPr>
          <w:rFonts w:ascii="Arial" w:hAnsi="Arial" w:cs="Arial"/>
          <w:b/>
          <w:sz w:val="22"/>
          <w:szCs w:val="22"/>
        </w:rPr>
        <w:t>not</w:t>
      </w:r>
      <w:r>
        <w:rPr>
          <w:rFonts w:ascii="Arial" w:hAnsi="Arial" w:cs="Arial"/>
          <w:sz w:val="22"/>
          <w:szCs w:val="22"/>
        </w:rPr>
        <w:t xml:space="preserve"> eligible to apply for grant funding either in their own right or on behalf of another person or organisation. Organisations who wish to apply for grant funding, and who have </w:t>
      </w:r>
      <w:proofErr w:type="spellStart"/>
      <w:r>
        <w:rPr>
          <w:rFonts w:ascii="Arial" w:hAnsi="Arial" w:cs="Arial"/>
          <w:sz w:val="22"/>
          <w:szCs w:val="22"/>
        </w:rPr>
        <w:t>TSRA</w:t>
      </w:r>
      <w:proofErr w:type="spellEnd"/>
      <w:r>
        <w:rPr>
          <w:rFonts w:ascii="Arial" w:hAnsi="Arial" w:cs="Arial"/>
          <w:sz w:val="22"/>
          <w:szCs w:val="22"/>
        </w:rPr>
        <w:t xml:space="preserve"> Members of employees who hold Director </w:t>
      </w:r>
      <w:proofErr w:type="gramStart"/>
      <w:r>
        <w:rPr>
          <w:rFonts w:ascii="Arial" w:hAnsi="Arial" w:cs="Arial"/>
          <w:sz w:val="22"/>
          <w:szCs w:val="22"/>
        </w:rPr>
        <w:t>positions</w:t>
      </w:r>
      <w:proofErr w:type="gramEnd"/>
      <w:r>
        <w:rPr>
          <w:rFonts w:ascii="Arial" w:hAnsi="Arial" w:cs="Arial"/>
          <w:sz w:val="22"/>
          <w:szCs w:val="22"/>
        </w:rPr>
        <w:t xml:space="preserve"> within their organisation, must ensure that other Directors are used to sign the grant application forms.</w:t>
      </w:r>
    </w:p>
    <w:p w:rsidR="00E6255E" w:rsidRPr="00970939" w:rsidRDefault="00E6255E" w:rsidP="0083335B">
      <w:pPr>
        <w:pStyle w:val="Heading3"/>
        <w:jc w:val="both"/>
        <w:rPr>
          <w:sz w:val="24"/>
          <w:szCs w:val="24"/>
        </w:rPr>
      </w:pPr>
      <w:r w:rsidRPr="00970939">
        <w:rPr>
          <w:sz w:val="24"/>
          <w:szCs w:val="24"/>
        </w:rPr>
        <w:t xml:space="preserve">What activities </w:t>
      </w:r>
      <w:r w:rsidR="002F4AFB" w:rsidRPr="00970939">
        <w:rPr>
          <w:sz w:val="24"/>
          <w:szCs w:val="24"/>
        </w:rPr>
        <w:t>may</w:t>
      </w:r>
      <w:r w:rsidRPr="00970939">
        <w:rPr>
          <w:sz w:val="24"/>
          <w:szCs w:val="24"/>
        </w:rPr>
        <w:t xml:space="preserve"> be considered for funding</w:t>
      </w:r>
    </w:p>
    <w:p w:rsidR="00BB225A" w:rsidRPr="00970939" w:rsidRDefault="00BB225A" w:rsidP="00BB225A">
      <w:pPr>
        <w:rPr>
          <w:rFonts w:ascii="Arial" w:hAnsi="Arial" w:cs="Arial"/>
          <w:sz w:val="22"/>
          <w:szCs w:val="22"/>
        </w:rPr>
      </w:pPr>
      <w:r w:rsidRPr="00970939">
        <w:rPr>
          <w:rFonts w:ascii="Arial" w:hAnsi="Arial" w:cs="Arial"/>
          <w:sz w:val="22"/>
          <w:szCs w:val="22"/>
        </w:rPr>
        <w:t xml:space="preserve">Activities that directly support the following Safe Communities </w:t>
      </w:r>
      <w:r w:rsidR="00C060AC">
        <w:rPr>
          <w:rFonts w:ascii="Arial" w:hAnsi="Arial" w:cs="Arial"/>
          <w:sz w:val="22"/>
          <w:szCs w:val="22"/>
        </w:rPr>
        <w:t>Projects and Initiatives</w:t>
      </w:r>
      <w:r w:rsidRPr="00970939">
        <w:rPr>
          <w:rFonts w:ascii="Arial" w:hAnsi="Arial" w:cs="Arial"/>
          <w:sz w:val="22"/>
          <w:szCs w:val="22"/>
        </w:rPr>
        <w:t>:</w:t>
      </w:r>
    </w:p>
    <w:p w:rsidR="005D4C84" w:rsidRDefault="005D4C84" w:rsidP="0083335B">
      <w:pPr>
        <w:numPr>
          <w:ilvl w:val="0"/>
          <w:numId w:val="3"/>
        </w:numPr>
        <w:spacing w:before="120"/>
        <w:jc w:val="both"/>
        <w:rPr>
          <w:rFonts w:ascii="Arial" w:hAnsi="Arial" w:cs="Arial"/>
          <w:sz w:val="22"/>
          <w:szCs w:val="22"/>
        </w:rPr>
      </w:pPr>
      <w:r>
        <w:rPr>
          <w:rFonts w:ascii="Arial" w:hAnsi="Arial" w:cs="Arial"/>
          <w:sz w:val="22"/>
          <w:szCs w:val="22"/>
        </w:rPr>
        <w:t>Torres Strait Islander and Aboriginal women, men and children social development and support program</w:t>
      </w:r>
      <w:r w:rsidR="00CC6DAC">
        <w:rPr>
          <w:rFonts w:ascii="Arial" w:hAnsi="Arial" w:cs="Arial"/>
          <w:sz w:val="22"/>
          <w:szCs w:val="22"/>
        </w:rPr>
        <w:t>me</w:t>
      </w:r>
      <w:r>
        <w:rPr>
          <w:rFonts w:ascii="Arial" w:hAnsi="Arial" w:cs="Arial"/>
          <w:sz w:val="22"/>
          <w:szCs w:val="22"/>
        </w:rPr>
        <w:t>s; child and family safety program</w:t>
      </w:r>
      <w:r w:rsidR="00CC6DAC">
        <w:rPr>
          <w:rFonts w:ascii="Arial" w:hAnsi="Arial" w:cs="Arial"/>
          <w:sz w:val="22"/>
          <w:szCs w:val="22"/>
        </w:rPr>
        <w:t>me</w:t>
      </w:r>
      <w:r>
        <w:rPr>
          <w:rFonts w:ascii="Arial" w:hAnsi="Arial" w:cs="Arial"/>
          <w:sz w:val="22"/>
          <w:szCs w:val="22"/>
        </w:rPr>
        <w:t>s</w:t>
      </w:r>
    </w:p>
    <w:p w:rsidR="005D4C84" w:rsidRDefault="005D4C84" w:rsidP="0083335B">
      <w:pPr>
        <w:numPr>
          <w:ilvl w:val="0"/>
          <w:numId w:val="3"/>
        </w:numPr>
        <w:spacing w:before="120"/>
        <w:jc w:val="both"/>
        <w:rPr>
          <w:rFonts w:ascii="Arial" w:hAnsi="Arial" w:cs="Arial"/>
          <w:sz w:val="22"/>
          <w:szCs w:val="22"/>
        </w:rPr>
      </w:pPr>
      <w:r>
        <w:rPr>
          <w:rFonts w:ascii="Arial" w:hAnsi="Arial" w:cs="Arial"/>
          <w:sz w:val="22"/>
          <w:szCs w:val="22"/>
        </w:rPr>
        <w:t>Safe and accessible community infrastructure; land and sea communications systems; community capacity  building</w:t>
      </w:r>
    </w:p>
    <w:p w:rsidR="00846679" w:rsidRPr="00970939" w:rsidRDefault="005D4C84" w:rsidP="0083335B">
      <w:pPr>
        <w:numPr>
          <w:ilvl w:val="0"/>
          <w:numId w:val="3"/>
        </w:numPr>
        <w:spacing w:before="120"/>
        <w:jc w:val="both"/>
        <w:rPr>
          <w:rFonts w:ascii="Arial" w:hAnsi="Arial" w:cs="Arial"/>
          <w:sz w:val="22"/>
          <w:szCs w:val="22"/>
        </w:rPr>
      </w:pPr>
      <w:r>
        <w:rPr>
          <w:rFonts w:ascii="Arial" w:hAnsi="Arial" w:cs="Arial"/>
          <w:sz w:val="22"/>
          <w:szCs w:val="22"/>
        </w:rPr>
        <w:t xml:space="preserve">Participate in interagency and Integrated Service Delivery meetings/forums to discuss issues of community and domestic safety and to contribute to shaping planning and service delivery in the region.  </w:t>
      </w:r>
    </w:p>
    <w:p w:rsidR="00422436" w:rsidRPr="00970939" w:rsidRDefault="00E6255E" w:rsidP="0083335B">
      <w:pPr>
        <w:pStyle w:val="Heading3"/>
        <w:jc w:val="both"/>
        <w:rPr>
          <w:sz w:val="24"/>
          <w:szCs w:val="24"/>
        </w:rPr>
      </w:pPr>
      <w:r w:rsidRPr="00970939">
        <w:rPr>
          <w:sz w:val="24"/>
          <w:szCs w:val="24"/>
        </w:rPr>
        <w:t>What is not funded</w:t>
      </w:r>
    </w:p>
    <w:p w:rsidR="00D344DA" w:rsidRDefault="00CC6DAC" w:rsidP="00D344DA">
      <w:pPr>
        <w:pStyle w:val="Pa7"/>
        <w:numPr>
          <w:ilvl w:val="0"/>
          <w:numId w:val="17"/>
        </w:numPr>
        <w:spacing w:before="40" w:after="40"/>
        <w:jc w:val="both"/>
        <w:rPr>
          <w:rFonts w:ascii="Arial" w:hAnsi="Arial" w:cs="Arial"/>
          <w:sz w:val="22"/>
          <w:szCs w:val="22"/>
        </w:rPr>
      </w:pPr>
      <w:r>
        <w:rPr>
          <w:rFonts w:ascii="Arial" w:hAnsi="Arial" w:cs="Arial"/>
          <w:sz w:val="22"/>
          <w:szCs w:val="22"/>
        </w:rPr>
        <w:t>The P</w:t>
      </w:r>
      <w:r w:rsidR="002F4AFB" w:rsidRPr="00970939">
        <w:rPr>
          <w:rFonts w:ascii="Arial" w:hAnsi="Arial" w:cs="Arial"/>
          <w:sz w:val="22"/>
          <w:szCs w:val="22"/>
        </w:rPr>
        <w:t>rogram</w:t>
      </w:r>
      <w:r>
        <w:rPr>
          <w:rFonts w:ascii="Arial" w:hAnsi="Arial" w:cs="Arial"/>
          <w:sz w:val="22"/>
          <w:szCs w:val="22"/>
        </w:rPr>
        <w:t>me</w:t>
      </w:r>
      <w:r w:rsidR="002F4AFB" w:rsidRPr="00970939">
        <w:rPr>
          <w:rFonts w:ascii="Arial" w:hAnsi="Arial" w:cs="Arial"/>
          <w:sz w:val="22"/>
          <w:szCs w:val="22"/>
        </w:rPr>
        <w:t xml:space="preserve"> does not generally support activities which a</w:t>
      </w:r>
      <w:r>
        <w:rPr>
          <w:rFonts w:ascii="Arial" w:hAnsi="Arial" w:cs="Arial"/>
          <w:sz w:val="22"/>
          <w:szCs w:val="22"/>
        </w:rPr>
        <w:t>re the responsibility of other P</w:t>
      </w:r>
      <w:r w:rsidR="002F4AFB" w:rsidRPr="00970939">
        <w:rPr>
          <w:rFonts w:ascii="Arial" w:hAnsi="Arial" w:cs="Arial"/>
          <w:sz w:val="22"/>
          <w:szCs w:val="22"/>
        </w:rPr>
        <w:t>rogram</w:t>
      </w:r>
      <w:r>
        <w:rPr>
          <w:rFonts w:ascii="Arial" w:hAnsi="Arial" w:cs="Arial"/>
          <w:sz w:val="22"/>
          <w:szCs w:val="22"/>
        </w:rPr>
        <w:t>me</w:t>
      </w:r>
      <w:r w:rsidR="002F4AFB" w:rsidRPr="00970939">
        <w:rPr>
          <w:rFonts w:ascii="Arial" w:hAnsi="Arial" w:cs="Arial"/>
          <w:sz w:val="22"/>
          <w:szCs w:val="22"/>
        </w:rPr>
        <w:t xml:space="preserve">s or </w:t>
      </w:r>
      <w:r w:rsidR="002C1FD4" w:rsidRPr="00970939">
        <w:rPr>
          <w:rFonts w:ascii="Arial" w:hAnsi="Arial" w:cs="Arial"/>
          <w:sz w:val="22"/>
          <w:szCs w:val="22"/>
        </w:rPr>
        <w:t xml:space="preserve">that could reasonably be funded by other </w:t>
      </w:r>
      <w:r>
        <w:rPr>
          <w:rFonts w:ascii="Arial" w:hAnsi="Arial" w:cs="Arial"/>
          <w:sz w:val="22"/>
          <w:szCs w:val="22"/>
        </w:rPr>
        <w:t xml:space="preserve">government departments.  </w:t>
      </w:r>
    </w:p>
    <w:p w:rsidR="002F4AFB" w:rsidRPr="00970939" w:rsidRDefault="00CC6DAC" w:rsidP="00D344DA">
      <w:pPr>
        <w:pStyle w:val="Pa7"/>
        <w:numPr>
          <w:ilvl w:val="0"/>
          <w:numId w:val="17"/>
        </w:numPr>
        <w:spacing w:before="40" w:after="40"/>
        <w:jc w:val="both"/>
        <w:rPr>
          <w:rFonts w:ascii="Arial" w:hAnsi="Arial" w:cs="Arial"/>
          <w:sz w:val="22"/>
          <w:szCs w:val="22"/>
        </w:rPr>
      </w:pPr>
      <w:r>
        <w:rPr>
          <w:rFonts w:ascii="Arial" w:hAnsi="Arial" w:cs="Arial"/>
          <w:sz w:val="22"/>
          <w:szCs w:val="22"/>
        </w:rPr>
        <w:t>The P</w:t>
      </w:r>
      <w:r w:rsidR="002F4AFB" w:rsidRPr="00970939">
        <w:rPr>
          <w:rFonts w:ascii="Arial" w:hAnsi="Arial" w:cs="Arial"/>
          <w:sz w:val="22"/>
          <w:szCs w:val="22"/>
        </w:rPr>
        <w:t>rogram</w:t>
      </w:r>
      <w:r>
        <w:rPr>
          <w:rFonts w:ascii="Arial" w:hAnsi="Arial" w:cs="Arial"/>
          <w:sz w:val="22"/>
          <w:szCs w:val="22"/>
        </w:rPr>
        <w:t>me</w:t>
      </w:r>
      <w:r w:rsidR="002F4AFB" w:rsidRPr="00970939">
        <w:rPr>
          <w:rFonts w:ascii="Arial" w:hAnsi="Arial" w:cs="Arial"/>
          <w:sz w:val="22"/>
          <w:szCs w:val="22"/>
        </w:rPr>
        <w:t xml:space="preserve"> will not fund activities which are unable to demonstrate a contribution to the </w:t>
      </w:r>
      <w:r>
        <w:rPr>
          <w:rFonts w:ascii="Arial" w:hAnsi="Arial" w:cs="Arial"/>
          <w:sz w:val="22"/>
          <w:szCs w:val="22"/>
        </w:rPr>
        <w:t>P</w:t>
      </w:r>
      <w:r w:rsidR="002F4AFB" w:rsidRPr="00970939">
        <w:rPr>
          <w:rFonts w:ascii="Arial" w:hAnsi="Arial" w:cs="Arial"/>
          <w:sz w:val="22"/>
          <w:szCs w:val="22"/>
        </w:rPr>
        <w:t>rogram</w:t>
      </w:r>
      <w:r>
        <w:rPr>
          <w:rFonts w:ascii="Arial" w:hAnsi="Arial" w:cs="Arial"/>
          <w:sz w:val="22"/>
          <w:szCs w:val="22"/>
        </w:rPr>
        <w:t>me</w:t>
      </w:r>
      <w:r w:rsidR="002F4AFB" w:rsidRPr="00970939">
        <w:rPr>
          <w:rFonts w:ascii="Arial" w:hAnsi="Arial" w:cs="Arial"/>
          <w:sz w:val="22"/>
          <w:szCs w:val="22"/>
        </w:rPr>
        <w:t xml:space="preserve">’s aims and targeted benefits. </w:t>
      </w:r>
    </w:p>
    <w:p w:rsidR="00E6255E" w:rsidRPr="00970939" w:rsidRDefault="00E6255E" w:rsidP="0083335B">
      <w:pPr>
        <w:pStyle w:val="Heading3"/>
        <w:jc w:val="both"/>
        <w:rPr>
          <w:sz w:val="24"/>
          <w:szCs w:val="24"/>
        </w:rPr>
      </w:pPr>
      <w:r w:rsidRPr="00970939">
        <w:rPr>
          <w:sz w:val="24"/>
          <w:szCs w:val="24"/>
        </w:rPr>
        <w:t>Timing for submissions</w:t>
      </w:r>
    </w:p>
    <w:p w:rsidR="00846679" w:rsidRPr="00970939" w:rsidRDefault="00846679" w:rsidP="0083335B">
      <w:pPr>
        <w:jc w:val="both"/>
        <w:rPr>
          <w:rFonts w:ascii="Arial" w:hAnsi="Arial" w:cs="Arial"/>
          <w:sz w:val="22"/>
          <w:szCs w:val="22"/>
        </w:rPr>
      </w:pPr>
      <w:r w:rsidRPr="00970939">
        <w:rPr>
          <w:rFonts w:ascii="Arial" w:hAnsi="Arial" w:cs="Arial"/>
          <w:sz w:val="22"/>
          <w:szCs w:val="22"/>
        </w:rPr>
        <w:t xml:space="preserve">Submissions are to be received in line with the due dates specified in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common funding round, or the small grants funding round.</w:t>
      </w:r>
    </w:p>
    <w:p w:rsidR="00E6255E" w:rsidRPr="00970939" w:rsidRDefault="00E6255E" w:rsidP="0083335B">
      <w:pPr>
        <w:pStyle w:val="Heading3"/>
        <w:jc w:val="both"/>
        <w:rPr>
          <w:sz w:val="24"/>
          <w:szCs w:val="24"/>
        </w:rPr>
      </w:pPr>
      <w:r w:rsidRPr="00970939">
        <w:rPr>
          <w:sz w:val="24"/>
          <w:szCs w:val="24"/>
        </w:rPr>
        <w:t>Assessment Criteria and Process</w:t>
      </w:r>
    </w:p>
    <w:p w:rsidR="00846679" w:rsidRPr="00970939" w:rsidRDefault="00846679" w:rsidP="0083335B">
      <w:pPr>
        <w:pStyle w:val="Pa7"/>
        <w:spacing w:before="40" w:after="40"/>
        <w:jc w:val="both"/>
        <w:rPr>
          <w:rFonts w:ascii="Arial" w:hAnsi="Arial" w:cs="Arial"/>
          <w:sz w:val="22"/>
          <w:szCs w:val="22"/>
        </w:rPr>
      </w:pPr>
      <w:r w:rsidRPr="00970939">
        <w:rPr>
          <w:rFonts w:ascii="Arial" w:hAnsi="Arial" w:cs="Arial"/>
          <w:sz w:val="22"/>
          <w:szCs w:val="22"/>
        </w:rPr>
        <w:t xml:space="preserve">Applications for initiatives under the </w:t>
      </w:r>
      <w:r w:rsidR="00A7424F" w:rsidRPr="00970939">
        <w:rPr>
          <w:rFonts w:ascii="Arial" w:hAnsi="Arial" w:cs="Arial"/>
          <w:sz w:val="22"/>
          <w:szCs w:val="22"/>
        </w:rPr>
        <w:t>Safe Communities</w:t>
      </w:r>
      <w:r w:rsidRPr="00970939">
        <w:rPr>
          <w:rFonts w:ascii="Arial" w:hAnsi="Arial" w:cs="Arial"/>
          <w:sz w:val="22"/>
          <w:szCs w:val="22"/>
        </w:rPr>
        <w:t xml:space="preserve"> Program</w:t>
      </w:r>
      <w:r w:rsidR="00CC6DAC">
        <w:rPr>
          <w:rFonts w:ascii="Arial" w:hAnsi="Arial" w:cs="Arial"/>
          <w:sz w:val="22"/>
          <w:szCs w:val="22"/>
        </w:rPr>
        <w:t>me</w:t>
      </w:r>
      <w:r w:rsidRPr="00970939">
        <w:rPr>
          <w:rFonts w:ascii="Arial" w:hAnsi="Arial" w:cs="Arial"/>
          <w:sz w:val="22"/>
          <w:szCs w:val="22"/>
        </w:rPr>
        <w:t xml:space="preserve"> will be considered against the assessment criteria below and in comparison to other applications in the round. </w:t>
      </w:r>
    </w:p>
    <w:p w:rsidR="00846679" w:rsidRPr="00970939" w:rsidRDefault="00846679" w:rsidP="00970939">
      <w:pPr>
        <w:pStyle w:val="Pa7"/>
        <w:spacing w:before="40" w:after="40"/>
        <w:ind w:firstLine="60"/>
        <w:jc w:val="both"/>
        <w:rPr>
          <w:rFonts w:ascii="Arial" w:hAnsi="Arial" w:cs="Arial"/>
        </w:rPr>
      </w:pPr>
    </w:p>
    <w:p w:rsidR="00846679" w:rsidRPr="00970939" w:rsidRDefault="00846679" w:rsidP="00970939">
      <w:pPr>
        <w:pStyle w:val="Pa17"/>
        <w:numPr>
          <w:ilvl w:val="0"/>
          <w:numId w:val="14"/>
        </w:numPr>
        <w:spacing w:before="40" w:after="40"/>
        <w:jc w:val="both"/>
        <w:rPr>
          <w:rFonts w:ascii="Arial" w:hAnsi="Arial" w:cs="Arial"/>
          <w:sz w:val="22"/>
          <w:szCs w:val="22"/>
        </w:rPr>
      </w:pPr>
      <w:r w:rsidRPr="00970939">
        <w:rPr>
          <w:rFonts w:ascii="Arial" w:hAnsi="Arial" w:cs="Arial"/>
          <w:sz w:val="22"/>
          <w:szCs w:val="22"/>
        </w:rPr>
        <w:t xml:space="preserve">A high quality project which benefits the local community and aligns to the aims and objectives of the initiatives under the </w:t>
      </w:r>
      <w:r w:rsidR="00A7424F" w:rsidRPr="00970939">
        <w:rPr>
          <w:rFonts w:ascii="Arial" w:hAnsi="Arial" w:cs="Arial"/>
          <w:sz w:val="22"/>
          <w:szCs w:val="22"/>
        </w:rPr>
        <w:t xml:space="preserve">Safe Communities </w:t>
      </w:r>
      <w:r w:rsidR="00CC6DAC">
        <w:rPr>
          <w:rFonts w:ascii="Arial" w:hAnsi="Arial" w:cs="Arial"/>
          <w:sz w:val="22"/>
          <w:szCs w:val="22"/>
        </w:rPr>
        <w:t>P</w:t>
      </w:r>
      <w:r w:rsidRPr="00970939">
        <w:rPr>
          <w:rFonts w:ascii="Arial" w:hAnsi="Arial" w:cs="Arial"/>
          <w:sz w:val="22"/>
          <w:szCs w:val="22"/>
        </w:rPr>
        <w:t>rogram</w:t>
      </w:r>
      <w:r w:rsidR="00CC6DAC">
        <w:rPr>
          <w:rFonts w:ascii="Arial" w:hAnsi="Arial" w:cs="Arial"/>
          <w:sz w:val="22"/>
          <w:szCs w:val="22"/>
        </w:rPr>
        <w:t>me</w:t>
      </w:r>
      <w:r w:rsidRPr="00970939">
        <w:rPr>
          <w:rFonts w:ascii="Arial" w:hAnsi="Arial" w:cs="Arial"/>
          <w:sz w:val="22"/>
          <w:szCs w:val="22"/>
        </w:rPr>
        <w:t>;</w:t>
      </w:r>
    </w:p>
    <w:p w:rsidR="00846679" w:rsidRPr="00970939" w:rsidRDefault="00846679" w:rsidP="00970939">
      <w:pPr>
        <w:pStyle w:val="Pa17"/>
        <w:numPr>
          <w:ilvl w:val="0"/>
          <w:numId w:val="14"/>
        </w:numPr>
        <w:spacing w:before="40" w:after="40"/>
        <w:jc w:val="both"/>
        <w:rPr>
          <w:rFonts w:ascii="Arial" w:hAnsi="Arial" w:cs="Arial"/>
          <w:sz w:val="22"/>
          <w:szCs w:val="22"/>
        </w:rPr>
      </w:pPr>
      <w:r w:rsidRPr="00970939">
        <w:rPr>
          <w:rFonts w:ascii="Arial" w:hAnsi="Arial" w:cs="Arial"/>
          <w:sz w:val="22"/>
          <w:szCs w:val="22"/>
        </w:rPr>
        <w:t xml:space="preserve">Extent to which the proposal contributes </w:t>
      </w:r>
      <w:r w:rsidR="00521099" w:rsidRPr="00970939">
        <w:rPr>
          <w:rFonts w:ascii="Arial" w:hAnsi="Arial" w:cs="Arial"/>
          <w:sz w:val="22"/>
          <w:szCs w:val="22"/>
        </w:rPr>
        <w:t xml:space="preserve">to </w:t>
      </w:r>
      <w:r w:rsidRPr="00970939">
        <w:rPr>
          <w:rFonts w:ascii="Arial" w:hAnsi="Arial" w:cs="Arial"/>
          <w:sz w:val="22"/>
          <w:szCs w:val="22"/>
        </w:rPr>
        <w:t xml:space="preserve">the short and long term benefits of the </w:t>
      </w:r>
      <w:r w:rsidR="00A7424F" w:rsidRPr="00970939">
        <w:rPr>
          <w:rFonts w:ascii="Arial" w:hAnsi="Arial" w:cs="Arial"/>
          <w:sz w:val="22"/>
          <w:szCs w:val="22"/>
        </w:rPr>
        <w:t xml:space="preserve">Safe Communities </w:t>
      </w:r>
      <w:r w:rsidRPr="00970939">
        <w:rPr>
          <w:rFonts w:ascii="Arial" w:hAnsi="Arial" w:cs="Arial"/>
          <w:sz w:val="22"/>
          <w:szCs w:val="22"/>
        </w:rPr>
        <w:t>Program</w:t>
      </w:r>
      <w:r w:rsidR="00CC6DAC">
        <w:rPr>
          <w:rFonts w:ascii="Arial" w:hAnsi="Arial" w:cs="Arial"/>
          <w:sz w:val="22"/>
          <w:szCs w:val="22"/>
        </w:rPr>
        <w:t>me</w:t>
      </w:r>
      <w:r w:rsidRPr="00970939">
        <w:rPr>
          <w:rFonts w:ascii="Arial" w:hAnsi="Arial" w:cs="Arial"/>
          <w:sz w:val="22"/>
          <w:szCs w:val="22"/>
        </w:rPr>
        <w:t>;</w:t>
      </w:r>
    </w:p>
    <w:p w:rsidR="00846679" w:rsidRPr="00970939" w:rsidRDefault="00846679" w:rsidP="00970939">
      <w:pPr>
        <w:pStyle w:val="Pa17"/>
        <w:numPr>
          <w:ilvl w:val="0"/>
          <w:numId w:val="14"/>
        </w:numPr>
        <w:spacing w:before="40" w:after="40"/>
        <w:jc w:val="both"/>
        <w:rPr>
          <w:rFonts w:ascii="Arial" w:hAnsi="Arial" w:cs="Arial"/>
          <w:sz w:val="22"/>
          <w:szCs w:val="22"/>
        </w:rPr>
      </w:pPr>
      <w:r w:rsidRPr="00970939">
        <w:rPr>
          <w:rFonts w:ascii="Arial" w:hAnsi="Arial" w:cs="Arial"/>
          <w:sz w:val="22"/>
          <w:szCs w:val="22"/>
        </w:rPr>
        <w:lastRenderedPageBreak/>
        <w:t>Ability of the applicant to deliver the proposed project (i.e. track record of organisation and individuals);</w:t>
      </w:r>
    </w:p>
    <w:p w:rsidR="00846679" w:rsidRPr="00970939" w:rsidRDefault="00846679" w:rsidP="00970939">
      <w:pPr>
        <w:pStyle w:val="Pa17"/>
        <w:numPr>
          <w:ilvl w:val="0"/>
          <w:numId w:val="14"/>
        </w:numPr>
        <w:spacing w:before="40" w:after="40"/>
        <w:jc w:val="both"/>
        <w:rPr>
          <w:rFonts w:ascii="Arial" w:hAnsi="Arial" w:cs="Arial"/>
          <w:sz w:val="22"/>
          <w:szCs w:val="22"/>
        </w:rPr>
      </w:pPr>
      <w:r w:rsidRPr="00970939">
        <w:rPr>
          <w:rFonts w:ascii="Arial" w:hAnsi="Arial" w:cs="Arial"/>
          <w:sz w:val="22"/>
          <w:szCs w:val="22"/>
        </w:rPr>
        <w:t xml:space="preserve">Demonstrated need for government funding; </w:t>
      </w:r>
    </w:p>
    <w:p w:rsidR="004967AA" w:rsidRPr="00970939" w:rsidRDefault="00183542" w:rsidP="00970939">
      <w:pPr>
        <w:pStyle w:val="Pa17"/>
        <w:numPr>
          <w:ilvl w:val="0"/>
          <w:numId w:val="14"/>
        </w:numPr>
        <w:spacing w:before="40"/>
        <w:jc w:val="both"/>
        <w:rPr>
          <w:rFonts w:ascii="Arial" w:hAnsi="Arial" w:cs="Arial"/>
          <w:sz w:val="22"/>
          <w:szCs w:val="22"/>
        </w:rPr>
      </w:pPr>
      <w:r w:rsidRPr="00970939">
        <w:rPr>
          <w:rFonts w:ascii="Arial" w:hAnsi="Arial" w:cs="Arial"/>
          <w:sz w:val="22"/>
          <w:szCs w:val="22"/>
        </w:rPr>
        <w:t>Realistic and sound budget; and</w:t>
      </w:r>
    </w:p>
    <w:p w:rsidR="004967AA" w:rsidRPr="00970939" w:rsidRDefault="00FC3508" w:rsidP="00970939">
      <w:pPr>
        <w:numPr>
          <w:ilvl w:val="0"/>
          <w:numId w:val="14"/>
        </w:numPr>
        <w:rPr>
          <w:rFonts w:ascii="Arial" w:hAnsi="Arial" w:cs="Arial"/>
          <w:sz w:val="22"/>
          <w:szCs w:val="22"/>
        </w:rPr>
      </w:pPr>
      <w:r w:rsidRPr="00970939">
        <w:rPr>
          <w:rFonts w:ascii="Arial" w:hAnsi="Arial" w:cs="Arial"/>
          <w:sz w:val="22"/>
          <w:szCs w:val="22"/>
        </w:rPr>
        <w:t xml:space="preserve">Evidence </w:t>
      </w:r>
      <w:r>
        <w:rPr>
          <w:rFonts w:ascii="Arial" w:hAnsi="Arial" w:cs="Arial"/>
          <w:sz w:val="22"/>
          <w:szCs w:val="22"/>
        </w:rPr>
        <w:t>that an attempt at sourcing funding</w:t>
      </w:r>
      <w:r w:rsidRPr="00970939">
        <w:rPr>
          <w:rFonts w:ascii="Arial" w:hAnsi="Arial" w:cs="Arial"/>
          <w:sz w:val="22"/>
          <w:szCs w:val="22"/>
        </w:rPr>
        <w:t xml:space="preserve"> from other funding bodies</w:t>
      </w:r>
      <w:r>
        <w:rPr>
          <w:rFonts w:ascii="Arial" w:hAnsi="Arial" w:cs="Arial"/>
          <w:sz w:val="22"/>
          <w:szCs w:val="22"/>
        </w:rPr>
        <w:t xml:space="preserve"> relevant to the project has been undertaken.</w:t>
      </w:r>
    </w:p>
    <w:p w:rsidR="00183542" w:rsidRPr="00970939" w:rsidRDefault="00183542">
      <w:pPr>
        <w:rPr>
          <w:rFonts w:ascii="Arial" w:hAnsi="Arial" w:cs="Arial"/>
          <w:sz w:val="22"/>
          <w:szCs w:val="22"/>
        </w:rPr>
      </w:pPr>
    </w:p>
    <w:p w:rsidR="00561D8D" w:rsidRPr="00970939" w:rsidRDefault="00561D8D" w:rsidP="009328C6">
      <w:pPr>
        <w:autoSpaceDE w:val="0"/>
        <w:autoSpaceDN w:val="0"/>
        <w:adjustRightInd w:val="0"/>
        <w:spacing w:after="20" w:line="221" w:lineRule="atLeast"/>
        <w:rPr>
          <w:rFonts w:ascii="Arial" w:hAnsi="Arial" w:cs="Arial"/>
          <w:sz w:val="22"/>
          <w:szCs w:val="22"/>
        </w:rPr>
      </w:pPr>
      <w:r w:rsidRPr="00970939">
        <w:rPr>
          <w:rFonts w:ascii="Arial" w:hAnsi="Arial" w:cs="Arial"/>
          <w:sz w:val="22"/>
          <w:szCs w:val="22"/>
        </w:rPr>
        <w:t>Applicants will be required to complete a grant funding application when applying</w:t>
      </w:r>
      <w:r w:rsidR="009328C6">
        <w:rPr>
          <w:rFonts w:ascii="Arial" w:hAnsi="Arial" w:cs="Arial"/>
          <w:sz w:val="22"/>
          <w:szCs w:val="22"/>
        </w:rPr>
        <w:t xml:space="preserve"> </w:t>
      </w:r>
      <w:r w:rsidRPr="00970939">
        <w:rPr>
          <w:rFonts w:ascii="Arial" w:hAnsi="Arial" w:cs="Arial"/>
          <w:sz w:val="22"/>
          <w:szCs w:val="22"/>
        </w:rPr>
        <w:t xml:space="preserve">for funds.  A copy of the grant funding application template is available on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website at </w:t>
      </w:r>
      <w:hyperlink r:id="rId11" w:history="1">
        <w:r w:rsidRPr="00970939">
          <w:rPr>
            <w:rStyle w:val="Hyperlink"/>
            <w:rFonts w:ascii="Arial" w:hAnsi="Arial" w:cs="Arial"/>
            <w:sz w:val="22"/>
            <w:szCs w:val="22"/>
          </w:rPr>
          <w:t>www.tsra.gov.au</w:t>
        </w:r>
      </w:hyperlink>
      <w:r w:rsidRPr="00970939">
        <w:rPr>
          <w:rFonts w:ascii="Arial" w:hAnsi="Arial" w:cs="Arial"/>
          <w:sz w:val="22"/>
          <w:szCs w:val="22"/>
        </w:rPr>
        <w:t xml:space="preserve"> or by contacting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Office on 1800 079 093.</w:t>
      </w:r>
    </w:p>
    <w:p w:rsidR="00846679" w:rsidRPr="00970939" w:rsidRDefault="00846679" w:rsidP="0083335B">
      <w:pPr>
        <w:autoSpaceDE w:val="0"/>
        <w:autoSpaceDN w:val="0"/>
        <w:adjustRightInd w:val="0"/>
        <w:spacing w:before="220" w:after="20" w:line="221" w:lineRule="atLeast"/>
        <w:ind w:left="340" w:hanging="340"/>
        <w:jc w:val="both"/>
        <w:rPr>
          <w:rFonts w:ascii="Arial" w:hAnsi="Arial" w:cs="Arial"/>
          <w:b/>
        </w:rPr>
      </w:pPr>
      <w:r w:rsidRPr="00970939">
        <w:rPr>
          <w:rFonts w:ascii="Arial" w:hAnsi="Arial" w:cs="Arial"/>
          <w:b/>
        </w:rPr>
        <w:t xml:space="preserve">Explanation of the Assessment Criteria </w:t>
      </w:r>
    </w:p>
    <w:p w:rsidR="007255BD" w:rsidRPr="00970939" w:rsidRDefault="00846679" w:rsidP="00970939">
      <w:pPr>
        <w:numPr>
          <w:ilvl w:val="0"/>
          <w:numId w:val="15"/>
        </w:numPr>
        <w:autoSpaceDE w:val="0"/>
        <w:autoSpaceDN w:val="0"/>
        <w:adjustRightInd w:val="0"/>
        <w:spacing w:before="220" w:after="20" w:line="221" w:lineRule="atLeast"/>
        <w:jc w:val="both"/>
        <w:rPr>
          <w:rFonts w:ascii="Arial" w:hAnsi="Arial" w:cs="Arial"/>
          <w:sz w:val="22"/>
          <w:szCs w:val="22"/>
        </w:rPr>
      </w:pPr>
      <w:r w:rsidRPr="00970939">
        <w:rPr>
          <w:rFonts w:ascii="Arial" w:hAnsi="Arial" w:cs="Arial"/>
          <w:sz w:val="22"/>
          <w:szCs w:val="22"/>
        </w:rPr>
        <w:t xml:space="preserve">A high quality project which benefits the local community and </w:t>
      </w:r>
      <w:r w:rsidR="008301F3" w:rsidRPr="00970939">
        <w:rPr>
          <w:rFonts w:ascii="Arial" w:hAnsi="Arial" w:cs="Arial"/>
          <w:sz w:val="22"/>
          <w:szCs w:val="22"/>
        </w:rPr>
        <w:t xml:space="preserve">aligns to the outcomes and targeted benefits </w:t>
      </w:r>
      <w:r w:rsidRPr="00970939">
        <w:rPr>
          <w:rFonts w:ascii="Arial" w:hAnsi="Arial" w:cs="Arial"/>
          <w:sz w:val="22"/>
          <w:szCs w:val="22"/>
        </w:rPr>
        <w:t xml:space="preserve">of the initiatives under the </w:t>
      </w:r>
      <w:r w:rsidR="00A7424F" w:rsidRPr="00970939">
        <w:rPr>
          <w:rFonts w:ascii="Arial" w:hAnsi="Arial" w:cs="Arial"/>
          <w:sz w:val="22"/>
          <w:szCs w:val="22"/>
        </w:rPr>
        <w:t xml:space="preserve">Safe Communities </w:t>
      </w:r>
      <w:r w:rsidR="00CC6DAC">
        <w:rPr>
          <w:rFonts w:ascii="Arial" w:hAnsi="Arial" w:cs="Arial"/>
          <w:sz w:val="22"/>
          <w:szCs w:val="22"/>
        </w:rPr>
        <w:t>P</w:t>
      </w:r>
      <w:r w:rsidRPr="00970939">
        <w:rPr>
          <w:rFonts w:ascii="Arial" w:hAnsi="Arial" w:cs="Arial"/>
          <w:sz w:val="22"/>
          <w:szCs w:val="22"/>
        </w:rPr>
        <w:t>rogram</w:t>
      </w:r>
      <w:r w:rsidR="00CC6DAC">
        <w:rPr>
          <w:rFonts w:ascii="Arial" w:hAnsi="Arial" w:cs="Arial"/>
          <w:sz w:val="22"/>
          <w:szCs w:val="22"/>
        </w:rPr>
        <w:t>me</w:t>
      </w:r>
      <w:r w:rsidRPr="00970939">
        <w:rPr>
          <w:rFonts w:ascii="Arial" w:hAnsi="Arial" w:cs="Arial"/>
          <w:sz w:val="22"/>
          <w:szCs w:val="22"/>
        </w:rPr>
        <w:t>.</w:t>
      </w:r>
    </w:p>
    <w:p w:rsidR="00846679" w:rsidRPr="00970939" w:rsidRDefault="00846679" w:rsidP="00D344DA">
      <w:pPr>
        <w:autoSpaceDE w:val="0"/>
        <w:autoSpaceDN w:val="0"/>
        <w:adjustRightInd w:val="0"/>
        <w:spacing w:before="220" w:after="20" w:line="211" w:lineRule="atLeast"/>
        <w:ind w:left="357"/>
        <w:jc w:val="both"/>
        <w:rPr>
          <w:rFonts w:ascii="Arial" w:hAnsi="Arial" w:cs="Arial"/>
          <w:sz w:val="22"/>
          <w:szCs w:val="22"/>
        </w:rPr>
      </w:pPr>
      <w:r w:rsidRPr="00970939">
        <w:rPr>
          <w:rFonts w:ascii="Arial" w:hAnsi="Arial" w:cs="Arial"/>
          <w:sz w:val="22"/>
          <w:szCs w:val="22"/>
        </w:rPr>
        <w:t>A range of factors will be taken into account when assessing the quality of a project, including how well it has been thought through, the professional skills that are being brought to it, the opportunities and benefits it provides and the outcomes it will achieve. These aspects will be seen in app</w:t>
      </w:r>
      <w:r w:rsidR="00CC6DAC">
        <w:rPr>
          <w:rFonts w:ascii="Arial" w:hAnsi="Arial" w:cs="Arial"/>
          <w:sz w:val="22"/>
          <w:szCs w:val="22"/>
        </w:rPr>
        <w:t>licant’s descriptions of their p</w:t>
      </w:r>
      <w:r w:rsidRPr="00970939">
        <w:rPr>
          <w:rFonts w:ascii="Arial" w:hAnsi="Arial" w:cs="Arial"/>
          <w:sz w:val="22"/>
          <w:szCs w:val="22"/>
        </w:rPr>
        <w:t>rogram</w:t>
      </w:r>
      <w:r w:rsidR="00CC6DAC">
        <w:rPr>
          <w:rFonts w:ascii="Arial" w:hAnsi="Arial" w:cs="Arial"/>
          <w:sz w:val="22"/>
          <w:szCs w:val="22"/>
        </w:rPr>
        <w:t>me</w:t>
      </w:r>
      <w:r w:rsidRPr="00970939">
        <w:rPr>
          <w:rFonts w:ascii="Arial" w:hAnsi="Arial" w:cs="Arial"/>
          <w:sz w:val="22"/>
          <w:szCs w:val="22"/>
        </w:rPr>
        <w:t xml:space="preserve"> of activities a</w:t>
      </w:r>
      <w:r w:rsidR="00FC22E3">
        <w:rPr>
          <w:rFonts w:ascii="Arial" w:hAnsi="Arial" w:cs="Arial"/>
          <w:sz w:val="22"/>
          <w:szCs w:val="22"/>
        </w:rPr>
        <w:t xml:space="preserve">nd outcomes in the application. </w:t>
      </w:r>
      <w:r w:rsidRPr="00970939">
        <w:rPr>
          <w:rFonts w:ascii="Arial" w:hAnsi="Arial" w:cs="Arial"/>
          <w:sz w:val="22"/>
          <w:szCs w:val="22"/>
        </w:rPr>
        <w:t xml:space="preserve">Applications should clearly demonstrate how the funding sought will directly contribute to the outcomes of the </w:t>
      </w:r>
      <w:r w:rsidR="00A7424F" w:rsidRPr="00970939">
        <w:rPr>
          <w:rFonts w:ascii="Arial" w:hAnsi="Arial" w:cs="Arial"/>
          <w:sz w:val="22"/>
          <w:szCs w:val="22"/>
        </w:rPr>
        <w:t xml:space="preserve">Safe Communities </w:t>
      </w:r>
      <w:r w:rsidRPr="00970939">
        <w:rPr>
          <w:rFonts w:ascii="Arial" w:hAnsi="Arial" w:cs="Arial"/>
          <w:sz w:val="22"/>
          <w:szCs w:val="22"/>
        </w:rPr>
        <w:t>Program</w:t>
      </w:r>
      <w:r w:rsidR="00CC6DAC">
        <w:rPr>
          <w:rFonts w:ascii="Arial" w:hAnsi="Arial" w:cs="Arial"/>
          <w:sz w:val="22"/>
          <w:szCs w:val="22"/>
        </w:rPr>
        <w:t>me</w:t>
      </w:r>
      <w:r w:rsidRPr="00970939">
        <w:rPr>
          <w:rFonts w:ascii="Arial" w:hAnsi="Arial" w:cs="Arial"/>
          <w:sz w:val="22"/>
          <w:szCs w:val="22"/>
        </w:rPr>
        <w:t xml:space="preserve">. </w:t>
      </w:r>
    </w:p>
    <w:p w:rsidR="00846679" w:rsidRPr="00970939" w:rsidRDefault="00846679" w:rsidP="0041340F">
      <w:pPr>
        <w:pStyle w:val="Pa17"/>
        <w:numPr>
          <w:ilvl w:val="0"/>
          <w:numId w:val="15"/>
        </w:numPr>
        <w:spacing w:before="220" w:after="20"/>
        <w:ind w:left="357" w:hanging="357"/>
        <w:jc w:val="both"/>
        <w:rPr>
          <w:rFonts w:ascii="Arial" w:hAnsi="Arial" w:cs="Arial"/>
          <w:sz w:val="22"/>
          <w:szCs w:val="22"/>
        </w:rPr>
      </w:pPr>
      <w:r w:rsidRPr="00970939">
        <w:rPr>
          <w:rFonts w:ascii="Arial" w:hAnsi="Arial" w:cs="Arial"/>
          <w:sz w:val="22"/>
          <w:szCs w:val="22"/>
        </w:rPr>
        <w:t xml:space="preserve">Extent to which the proposal contributes </w:t>
      </w:r>
      <w:r w:rsidR="00521099" w:rsidRPr="00970939">
        <w:rPr>
          <w:rFonts w:ascii="Arial" w:hAnsi="Arial" w:cs="Arial"/>
          <w:sz w:val="22"/>
          <w:szCs w:val="22"/>
        </w:rPr>
        <w:t xml:space="preserve">to </w:t>
      </w:r>
      <w:r w:rsidRPr="00970939">
        <w:rPr>
          <w:rFonts w:ascii="Arial" w:hAnsi="Arial" w:cs="Arial"/>
          <w:sz w:val="22"/>
          <w:szCs w:val="22"/>
        </w:rPr>
        <w:t xml:space="preserve">the short and long term benefits of the </w:t>
      </w:r>
      <w:r w:rsidR="00A7424F" w:rsidRPr="00970939">
        <w:rPr>
          <w:rFonts w:ascii="Arial" w:hAnsi="Arial" w:cs="Arial"/>
          <w:sz w:val="22"/>
          <w:szCs w:val="22"/>
        </w:rPr>
        <w:t xml:space="preserve">Safe Communities </w:t>
      </w:r>
      <w:r w:rsidRPr="00970939">
        <w:rPr>
          <w:rFonts w:ascii="Arial" w:hAnsi="Arial" w:cs="Arial"/>
          <w:sz w:val="22"/>
          <w:szCs w:val="22"/>
        </w:rPr>
        <w:t>Program</w:t>
      </w:r>
      <w:r w:rsidR="00CC6DAC">
        <w:rPr>
          <w:rFonts w:ascii="Arial" w:hAnsi="Arial" w:cs="Arial"/>
          <w:sz w:val="22"/>
          <w:szCs w:val="22"/>
        </w:rPr>
        <w:t>me</w:t>
      </w:r>
      <w:r w:rsidRPr="00970939">
        <w:rPr>
          <w:rFonts w:ascii="Arial" w:hAnsi="Arial" w:cs="Arial"/>
          <w:sz w:val="22"/>
          <w:szCs w:val="22"/>
        </w:rPr>
        <w:t>.</w:t>
      </w:r>
    </w:p>
    <w:p w:rsidR="00846679" w:rsidRPr="00970939" w:rsidRDefault="00846679" w:rsidP="00D344DA">
      <w:pPr>
        <w:autoSpaceDE w:val="0"/>
        <w:autoSpaceDN w:val="0"/>
        <w:adjustRightInd w:val="0"/>
        <w:spacing w:before="220" w:after="20" w:line="211" w:lineRule="atLeast"/>
        <w:ind w:left="357"/>
        <w:jc w:val="both"/>
        <w:rPr>
          <w:rFonts w:ascii="Arial" w:hAnsi="Arial" w:cs="Arial"/>
          <w:sz w:val="22"/>
          <w:szCs w:val="22"/>
        </w:rPr>
      </w:pPr>
      <w:r w:rsidRPr="00970939">
        <w:rPr>
          <w:rFonts w:ascii="Arial" w:hAnsi="Arial" w:cs="Arial"/>
          <w:sz w:val="22"/>
          <w:szCs w:val="22"/>
        </w:rPr>
        <w:t xml:space="preserve">Proposed projects should demonstrate that they directly contribute to the relevant short or long term benefits targeted by the </w:t>
      </w:r>
      <w:r w:rsidR="00A7424F" w:rsidRPr="00970939">
        <w:rPr>
          <w:rFonts w:ascii="Arial" w:hAnsi="Arial" w:cs="Arial"/>
          <w:sz w:val="22"/>
          <w:szCs w:val="22"/>
        </w:rPr>
        <w:t xml:space="preserve">Safe Communities </w:t>
      </w:r>
      <w:r w:rsidRPr="00970939">
        <w:rPr>
          <w:rFonts w:ascii="Arial" w:hAnsi="Arial" w:cs="Arial"/>
          <w:sz w:val="22"/>
          <w:szCs w:val="22"/>
        </w:rPr>
        <w:t>Program</w:t>
      </w:r>
      <w:r w:rsidR="00CC6DAC">
        <w:rPr>
          <w:rFonts w:ascii="Arial" w:hAnsi="Arial" w:cs="Arial"/>
          <w:sz w:val="22"/>
          <w:szCs w:val="22"/>
        </w:rPr>
        <w:t>me</w:t>
      </w:r>
      <w:r w:rsidRPr="00970939">
        <w:rPr>
          <w:rFonts w:ascii="Arial" w:hAnsi="Arial" w:cs="Arial"/>
          <w:sz w:val="22"/>
          <w:szCs w:val="22"/>
        </w:rPr>
        <w:t xml:space="preserve">.  </w:t>
      </w:r>
    </w:p>
    <w:p w:rsidR="00846679" w:rsidRPr="00970939" w:rsidRDefault="00846679" w:rsidP="00D344DA">
      <w:pPr>
        <w:autoSpaceDE w:val="0"/>
        <w:autoSpaceDN w:val="0"/>
        <w:adjustRightInd w:val="0"/>
        <w:spacing w:before="40" w:after="40" w:line="211" w:lineRule="atLeast"/>
        <w:ind w:left="357"/>
        <w:jc w:val="both"/>
        <w:rPr>
          <w:rFonts w:ascii="Arial" w:hAnsi="Arial" w:cs="Arial"/>
          <w:sz w:val="22"/>
          <w:szCs w:val="22"/>
        </w:rPr>
      </w:pPr>
      <w:r w:rsidRPr="00970939">
        <w:rPr>
          <w:rFonts w:ascii="Arial" w:hAnsi="Arial" w:cs="Arial"/>
          <w:sz w:val="22"/>
          <w:szCs w:val="22"/>
        </w:rPr>
        <w:t>For most applicants this will mean outlining in detail the outcome or benefit the activity intends to achieve.</w:t>
      </w:r>
    </w:p>
    <w:p w:rsidR="00CC6DAC" w:rsidRDefault="00846679" w:rsidP="00CC6DAC">
      <w:pPr>
        <w:numPr>
          <w:ilvl w:val="0"/>
          <w:numId w:val="15"/>
        </w:numPr>
        <w:autoSpaceDE w:val="0"/>
        <w:autoSpaceDN w:val="0"/>
        <w:adjustRightInd w:val="0"/>
        <w:spacing w:before="220" w:after="20" w:line="221" w:lineRule="atLeast"/>
        <w:ind w:left="357" w:hanging="357"/>
        <w:jc w:val="both"/>
        <w:rPr>
          <w:rFonts w:ascii="Arial" w:hAnsi="Arial" w:cs="Arial"/>
          <w:sz w:val="22"/>
          <w:szCs w:val="22"/>
        </w:rPr>
      </w:pPr>
      <w:r w:rsidRPr="00970939">
        <w:rPr>
          <w:rFonts w:ascii="Arial" w:hAnsi="Arial" w:cs="Arial"/>
          <w:sz w:val="22"/>
          <w:szCs w:val="22"/>
        </w:rPr>
        <w:t>Ability to deliver the proposed project (i.e. track record of organisation and individuals).</w:t>
      </w:r>
    </w:p>
    <w:p w:rsidR="00CC6DAC" w:rsidRPr="00CC6DAC" w:rsidRDefault="00CC6DAC" w:rsidP="00CC6DAC">
      <w:pPr>
        <w:autoSpaceDE w:val="0"/>
        <w:autoSpaceDN w:val="0"/>
        <w:adjustRightInd w:val="0"/>
        <w:spacing w:after="20" w:line="221" w:lineRule="atLeast"/>
        <w:ind w:left="357"/>
        <w:jc w:val="both"/>
        <w:rPr>
          <w:rFonts w:ascii="Arial" w:hAnsi="Arial" w:cs="Arial"/>
          <w:sz w:val="22"/>
          <w:szCs w:val="22"/>
        </w:rPr>
      </w:pPr>
    </w:p>
    <w:p w:rsidR="00846679" w:rsidRPr="00970939" w:rsidRDefault="00846679" w:rsidP="00D344DA">
      <w:pPr>
        <w:autoSpaceDE w:val="0"/>
        <w:autoSpaceDN w:val="0"/>
        <w:adjustRightInd w:val="0"/>
        <w:spacing w:before="40" w:after="40" w:line="211" w:lineRule="atLeast"/>
        <w:ind w:left="357"/>
        <w:jc w:val="both"/>
        <w:rPr>
          <w:rFonts w:ascii="Arial" w:hAnsi="Arial" w:cs="Arial"/>
          <w:sz w:val="22"/>
          <w:szCs w:val="22"/>
        </w:rPr>
      </w:pPr>
      <w:r w:rsidRPr="00970939">
        <w:rPr>
          <w:rFonts w:ascii="Arial" w:hAnsi="Arial" w:cs="Arial"/>
          <w:sz w:val="22"/>
          <w:szCs w:val="22"/>
        </w:rPr>
        <w:t>The skills and experience of each key participant and the track record of the organisation are important ingredients of a successful project or program</w:t>
      </w:r>
      <w:r w:rsidR="00CC6DAC">
        <w:rPr>
          <w:rFonts w:ascii="Arial" w:hAnsi="Arial" w:cs="Arial"/>
          <w:sz w:val="22"/>
          <w:szCs w:val="22"/>
        </w:rPr>
        <w:t>me</w:t>
      </w:r>
      <w:r w:rsidRPr="00970939">
        <w:rPr>
          <w:rFonts w:ascii="Arial" w:hAnsi="Arial" w:cs="Arial"/>
          <w:sz w:val="22"/>
          <w:szCs w:val="22"/>
        </w:rPr>
        <w:t xml:space="preserve">. Applicants should ensure that the CVs of the key participants and a brief explanation of their roles are included in the submission. </w:t>
      </w:r>
    </w:p>
    <w:p w:rsidR="00846679" w:rsidRPr="00970939" w:rsidRDefault="00846679" w:rsidP="0041340F">
      <w:pPr>
        <w:numPr>
          <w:ilvl w:val="0"/>
          <w:numId w:val="15"/>
        </w:numPr>
        <w:autoSpaceDE w:val="0"/>
        <w:autoSpaceDN w:val="0"/>
        <w:adjustRightInd w:val="0"/>
        <w:spacing w:before="220" w:after="20" w:line="221" w:lineRule="atLeast"/>
        <w:ind w:left="357" w:hanging="357"/>
        <w:jc w:val="both"/>
        <w:rPr>
          <w:rFonts w:ascii="Arial" w:hAnsi="Arial" w:cs="Arial"/>
          <w:sz w:val="22"/>
          <w:szCs w:val="22"/>
        </w:rPr>
      </w:pPr>
      <w:r w:rsidRPr="00970939">
        <w:rPr>
          <w:rFonts w:ascii="Arial" w:hAnsi="Arial" w:cs="Arial"/>
          <w:sz w:val="22"/>
          <w:szCs w:val="22"/>
        </w:rPr>
        <w:t>Demonstrated need for government funding</w:t>
      </w:r>
    </w:p>
    <w:p w:rsidR="007255BD" w:rsidRPr="00970939" w:rsidRDefault="00846679" w:rsidP="00D344DA">
      <w:pPr>
        <w:autoSpaceDE w:val="0"/>
        <w:autoSpaceDN w:val="0"/>
        <w:adjustRightInd w:val="0"/>
        <w:spacing w:before="220" w:after="20" w:line="221" w:lineRule="atLeast"/>
        <w:ind w:left="357"/>
        <w:jc w:val="both"/>
        <w:rPr>
          <w:rFonts w:ascii="Arial" w:hAnsi="Arial" w:cs="Arial"/>
          <w:sz w:val="22"/>
          <w:szCs w:val="22"/>
        </w:rPr>
      </w:pPr>
      <w:r w:rsidRPr="00970939">
        <w:rPr>
          <w:rFonts w:ascii="Arial" w:hAnsi="Arial" w:cs="Arial"/>
          <w:sz w:val="22"/>
          <w:szCs w:val="22"/>
        </w:rPr>
        <w:t xml:space="preserve">Given the strong demand for support under the </w:t>
      </w:r>
      <w:r w:rsidR="00A7424F" w:rsidRPr="00970939">
        <w:rPr>
          <w:rFonts w:ascii="Arial" w:hAnsi="Arial" w:cs="Arial"/>
          <w:sz w:val="22"/>
          <w:szCs w:val="22"/>
        </w:rPr>
        <w:t xml:space="preserve">Safe Communities </w:t>
      </w:r>
      <w:r w:rsidRPr="00970939">
        <w:rPr>
          <w:rFonts w:ascii="Arial" w:hAnsi="Arial" w:cs="Arial"/>
          <w:sz w:val="22"/>
          <w:szCs w:val="22"/>
        </w:rPr>
        <w:t>Program</w:t>
      </w:r>
      <w:r w:rsidR="00CC6DAC">
        <w:rPr>
          <w:rFonts w:ascii="Arial" w:hAnsi="Arial" w:cs="Arial"/>
          <w:sz w:val="22"/>
          <w:szCs w:val="22"/>
        </w:rPr>
        <w:t>me</w:t>
      </w:r>
      <w:r w:rsidRPr="00970939">
        <w:rPr>
          <w:rFonts w:ascii="Arial" w:hAnsi="Arial" w:cs="Arial"/>
          <w:sz w:val="22"/>
          <w:szCs w:val="22"/>
        </w:rPr>
        <w:t xml:space="preserve">, it is important that funding supports projects that will both achieve quality outcomes in line with </w:t>
      </w:r>
      <w:r w:rsidR="00CC6DAC">
        <w:rPr>
          <w:rFonts w:ascii="Arial" w:hAnsi="Arial" w:cs="Arial"/>
          <w:sz w:val="22"/>
          <w:szCs w:val="22"/>
        </w:rPr>
        <w:t>the aims and objectives of the P</w:t>
      </w:r>
      <w:r w:rsidRPr="00970939">
        <w:rPr>
          <w:rFonts w:ascii="Arial" w:hAnsi="Arial" w:cs="Arial"/>
          <w:sz w:val="22"/>
          <w:szCs w:val="22"/>
        </w:rPr>
        <w:t>rogram</w:t>
      </w:r>
      <w:r w:rsidR="00CC6DAC">
        <w:rPr>
          <w:rFonts w:ascii="Arial" w:hAnsi="Arial" w:cs="Arial"/>
          <w:sz w:val="22"/>
          <w:szCs w:val="22"/>
        </w:rPr>
        <w:t>me</w:t>
      </w:r>
      <w:r w:rsidRPr="00970939">
        <w:rPr>
          <w:rFonts w:ascii="Arial" w:hAnsi="Arial" w:cs="Arial"/>
          <w:sz w:val="22"/>
          <w:szCs w:val="22"/>
        </w:rPr>
        <w:t xml:space="preserve">, and would not be able to happen without government support. </w:t>
      </w:r>
    </w:p>
    <w:p w:rsidR="0041340F" w:rsidRDefault="00846679" w:rsidP="0041340F">
      <w:pPr>
        <w:numPr>
          <w:ilvl w:val="0"/>
          <w:numId w:val="15"/>
        </w:numPr>
        <w:autoSpaceDE w:val="0"/>
        <w:autoSpaceDN w:val="0"/>
        <w:adjustRightInd w:val="0"/>
        <w:spacing w:before="220" w:after="20" w:line="221" w:lineRule="atLeast"/>
        <w:ind w:left="357" w:hanging="357"/>
        <w:jc w:val="both"/>
        <w:rPr>
          <w:rFonts w:ascii="Arial" w:hAnsi="Arial" w:cs="Arial"/>
          <w:sz w:val="22"/>
          <w:szCs w:val="22"/>
        </w:rPr>
      </w:pPr>
      <w:r w:rsidRPr="00970939">
        <w:rPr>
          <w:rFonts w:ascii="Arial" w:hAnsi="Arial" w:cs="Arial"/>
          <w:sz w:val="22"/>
          <w:szCs w:val="22"/>
        </w:rPr>
        <w:t>Realistic and sound budget</w:t>
      </w:r>
      <w:r w:rsidR="00CC6DAC">
        <w:rPr>
          <w:rFonts w:ascii="Arial" w:hAnsi="Arial" w:cs="Arial"/>
          <w:sz w:val="22"/>
          <w:szCs w:val="22"/>
        </w:rPr>
        <w:t>; and</w:t>
      </w:r>
    </w:p>
    <w:p w:rsidR="00CC6DAC" w:rsidRPr="00CC6DAC" w:rsidRDefault="00CC6DAC" w:rsidP="00CC6DAC">
      <w:pPr>
        <w:numPr>
          <w:ilvl w:val="0"/>
          <w:numId w:val="15"/>
        </w:numPr>
        <w:autoSpaceDE w:val="0"/>
        <w:autoSpaceDN w:val="0"/>
        <w:adjustRightInd w:val="0"/>
        <w:spacing w:before="220" w:after="20" w:line="221" w:lineRule="atLeast"/>
        <w:jc w:val="both"/>
        <w:rPr>
          <w:rFonts w:ascii="Arial" w:hAnsi="Arial" w:cs="Arial"/>
          <w:sz w:val="22"/>
          <w:szCs w:val="22"/>
        </w:rPr>
      </w:pPr>
      <w:r w:rsidRPr="001C418C">
        <w:rPr>
          <w:rFonts w:ascii="Arial" w:hAnsi="Arial" w:cs="Arial"/>
          <w:sz w:val="22"/>
          <w:szCs w:val="22"/>
        </w:rPr>
        <w:t xml:space="preserve">Evidence that an attempt at sourcing funding from other funding bodies relevant to the project has been undertaken.  </w:t>
      </w:r>
    </w:p>
    <w:p w:rsidR="00846679" w:rsidRPr="00970939" w:rsidRDefault="00846679" w:rsidP="00D344DA">
      <w:pPr>
        <w:autoSpaceDE w:val="0"/>
        <w:autoSpaceDN w:val="0"/>
        <w:adjustRightInd w:val="0"/>
        <w:spacing w:before="220" w:after="20" w:line="211" w:lineRule="atLeast"/>
        <w:ind w:left="360"/>
        <w:jc w:val="both"/>
        <w:rPr>
          <w:rFonts w:ascii="Arial" w:hAnsi="Arial" w:cs="Arial"/>
          <w:sz w:val="22"/>
          <w:szCs w:val="22"/>
        </w:rPr>
      </w:pPr>
      <w:r w:rsidRPr="00970939">
        <w:rPr>
          <w:rFonts w:ascii="Arial" w:hAnsi="Arial" w:cs="Arial"/>
          <w:sz w:val="22"/>
          <w:szCs w:val="22"/>
        </w:rPr>
        <w:lastRenderedPageBreak/>
        <w:t xml:space="preserve">Applicants will need to complete the budget pro-forma which is part of the </w:t>
      </w:r>
      <w:r w:rsidR="00561D8D" w:rsidRPr="00970939">
        <w:rPr>
          <w:rFonts w:ascii="Arial" w:hAnsi="Arial" w:cs="Arial"/>
          <w:sz w:val="22"/>
          <w:szCs w:val="22"/>
        </w:rPr>
        <w:t xml:space="preserve">grant funding application </w:t>
      </w:r>
      <w:r w:rsidRPr="00970939">
        <w:rPr>
          <w:rFonts w:ascii="Arial" w:hAnsi="Arial" w:cs="Arial"/>
          <w:sz w:val="22"/>
          <w:szCs w:val="22"/>
        </w:rPr>
        <w:t xml:space="preserve">template. It is important to ensure that proposed budgets are accurate, clear, reasonable and readily supported by evidence. </w:t>
      </w:r>
    </w:p>
    <w:p w:rsidR="009147FC" w:rsidRPr="00970939" w:rsidRDefault="009147FC" w:rsidP="0083335B">
      <w:pPr>
        <w:pStyle w:val="Heading3"/>
        <w:jc w:val="both"/>
        <w:rPr>
          <w:sz w:val="24"/>
          <w:szCs w:val="24"/>
        </w:rPr>
      </w:pPr>
      <w:r w:rsidRPr="00970939">
        <w:rPr>
          <w:sz w:val="24"/>
          <w:szCs w:val="24"/>
        </w:rPr>
        <w:t>Performance Measures, Evaluation</w:t>
      </w:r>
    </w:p>
    <w:p w:rsidR="009147FC" w:rsidRPr="00970939" w:rsidRDefault="00CC6DAC" w:rsidP="0083335B">
      <w:pPr>
        <w:jc w:val="both"/>
        <w:rPr>
          <w:rFonts w:ascii="Arial" w:hAnsi="Arial" w:cs="Arial"/>
          <w:sz w:val="22"/>
          <w:szCs w:val="22"/>
        </w:rPr>
      </w:pPr>
      <w:r>
        <w:rPr>
          <w:rFonts w:ascii="Arial" w:hAnsi="Arial" w:cs="Arial"/>
          <w:sz w:val="22"/>
          <w:szCs w:val="22"/>
        </w:rPr>
        <w:t>Performance Measures will be P</w:t>
      </w:r>
      <w:r w:rsidR="002F4AFB" w:rsidRPr="00970939">
        <w:rPr>
          <w:rFonts w:ascii="Arial" w:hAnsi="Arial" w:cs="Arial"/>
          <w:sz w:val="22"/>
          <w:szCs w:val="22"/>
        </w:rPr>
        <w:t>rogram</w:t>
      </w:r>
      <w:r>
        <w:rPr>
          <w:rFonts w:ascii="Arial" w:hAnsi="Arial" w:cs="Arial"/>
          <w:sz w:val="22"/>
          <w:szCs w:val="22"/>
        </w:rPr>
        <w:t>me</w:t>
      </w:r>
      <w:r w:rsidR="002F4AFB" w:rsidRPr="00970939">
        <w:rPr>
          <w:rFonts w:ascii="Arial" w:hAnsi="Arial" w:cs="Arial"/>
          <w:sz w:val="22"/>
          <w:szCs w:val="22"/>
        </w:rPr>
        <w:t xml:space="preserve"> specific and selected from the following:</w:t>
      </w:r>
    </w:p>
    <w:p w:rsidR="0083335B" w:rsidRPr="00970939" w:rsidRDefault="0083335B" w:rsidP="0083335B">
      <w:pPr>
        <w:jc w:val="both"/>
        <w:rPr>
          <w:rFonts w:ascii="Arial" w:hAnsi="Arial" w:cs="Arial"/>
        </w:rPr>
      </w:pPr>
    </w:p>
    <w:p w:rsidR="0083335B" w:rsidRPr="002F17F1" w:rsidRDefault="004B01E3" w:rsidP="0083335B">
      <w:pPr>
        <w:numPr>
          <w:ilvl w:val="0"/>
          <w:numId w:val="8"/>
        </w:numPr>
        <w:jc w:val="both"/>
        <w:rPr>
          <w:rFonts w:ascii="Arial" w:hAnsi="Arial" w:cs="Arial"/>
          <w:sz w:val="22"/>
          <w:szCs w:val="22"/>
        </w:rPr>
      </w:pPr>
      <w:r>
        <w:rPr>
          <w:rFonts w:ascii="Arial" w:hAnsi="Arial" w:cs="Arial"/>
          <w:sz w:val="22"/>
        </w:rPr>
        <w:t xml:space="preserve">All Torres Strait Islander and Aboriginal people employed in the </w:t>
      </w:r>
      <w:proofErr w:type="spellStart"/>
      <w:r>
        <w:rPr>
          <w:rFonts w:ascii="Arial" w:hAnsi="Arial" w:cs="Arial"/>
          <w:sz w:val="22"/>
        </w:rPr>
        <w:t>TSRA</w:t>
      </w:r>
      <w:proofErr w:type="spellEnd"/>
      <w:r>
        <w:rPr>
          <w:rFonts w:ascii="Arial" w:hAnsi="Arial" w:cs="Arial"/>
          <w:sz w:val="22"/>
        </w:rPr>
        <w:t xml:space="preserve"> support social services sector in the region </w:t>
      </w:r>
      <w:r w:rsidR="002F17F1">
        <w:rPr>
          <w:rFonts w:ascii="Arial" w:hAnsi="Arial" w:cs="Arial"/>
          <w:sz w:val="22"/>
        </w:rPr>
        <w:t>have appropriate accreditation.</w:t>
      </w:r>
    </w:p>
    <w:p w:rsidR="002F17F1" w:rsidRPr="002F17F1" w:rsidRDefault="002F17F1" w:rsidP="0083335B">
      <w:pPr>
        <w:numPr>
          <w:ilvl w:val="0"/>
          <w:numId w:val="8"/>
        </w:numPr>
        <w:jc w:val="both"/>
        <w:rPr>
          <w:rFonts w:ascii="Arial" w:hAnsi="Arial" w:cs="Arial"/>
          <w:sz w:val="22"/>
          <w:szCs w:val="22"/>
        </w:rPr>
      </w:pPr>
      <w:r>
        <w:rPr>
          <w:rFonts w:ascii="Arial" w:hAnsi="Arial" w:cs="Arial"/>
          <w:sz w:val="22"/>
        </w:rPr>
        <w:t xml:space="preserve">All </w:t>
      </w:r>
      <w:proofErr w:type="spellStart"/>
      <w:r>
        <w:rPr>
          <w:rFonts w:ascii="Arial" w:hAnsi="Arial" w:cs="Arial"/>
          <w:sz w:val="22"/>
        </w:rPr>
        <w:t>TSRA</w:t>
      </w:r>
      <w:proofErr w:type="spellEnd"/>
      <w:r>
        <w:rPr>
          <w:rFonts w:ascii="Arial" w:hAnsi="Arial" w:cs="Arial"/>
          <w:sz w:val="22"/>
        </w:rPr>
        <w:t xml:space="preserve"> funded service delivery organisations in the region provide quality services and operate in accordance with relevant standards.</w:t>
      </w:r>
    </w:p>
    <w:p w:rsidR="002F17F1" w:rsidRPr="002F17F1" w:rsidRDefault="002F17F1" w:rsidP="0083335B">
      <w:pPr>
        <w:numPr>
          <w:ilvl w:val="0"/>
          <w:numId w:val="8"/>
        </w:numPr>
        <w:jc w:val="both"/>
        <w:rPr>
          <w:rFonts w:ascii="Arial" w:hAnsi="Arial" w:cs="Arial"/>
          <w:sz w:val="22"/>
          <w:szCs w:val="22"/>
        </w:rPr>
      </w:pPr>
      <w:r>
        <w:rPr>
          <w:rFonts w:ascii="Arial" w:hAnsi="Arial" w:cs="Arial"/>
          <w:sz w:val="22"/>
        </w:rPr>
        <w:t>Reduction in service referrals, response timeframes and waiting lists for social service providers.</w:t>
      </w:r>
    </w:p>
    <w:p w:rsidR="002F17F1" w:rsidRPr="00970939" w:rsidRDefault="002F17F1" w:rsidP="0083335B">
      <w:pPr>
        <w:numPr>
          <w:ilvl w:val="0"/>
          <w:numId w:val="8"/>
        </w:numPr>
        <w:jc w:val="both"/>
        <w:rPr>
          <w:rFonts w:ascii="Arial" w:hAnsi="Arial" w:cs="Arial"/>
          <w:sz w:val="22"/>
          <w:szCs w:val="22"/>
        </w:rPr>
      </w:pPr>
      <w:r>
        <w:rPr>
          <w:rFonts w:ascii="Arial" w:hAnsi="Arial" w:cs="Arial"/>
          <w:sz w:val="22"/>
        </w:rPr>
        <w:t xml:space="preserve">Increase participation in </w:t>
      </w:r>
      <w:proofErr w:type="spellStart"/>
      <w:r>
        <w:rPr>
          <w:rFonts w:ascii="Arial" w:hAnsi="Arial" w:cs="Arial"/>
          <w:sz w:val="22"/>
        </w:rPr>
        <w:t>TSRA</w:t>
      </w:r>
      <w:proofErr w:type="spellEnd"/>
      <w:r>
        <w:rPr>
          <w:rFonts w:ascii="Arial" w:hAnsi="Arial" w:cs="Arial"/>
          <w:sz w:val="22"/>
        </w:rPr>
        <w:t xml:space="preserve"> supported community events by residents and </w:t>
      </w:r>
      <w:proofErr w:type="spellStart"/>
      <w:r>
        <w:rPr>
          <w:rFonts w:ascii="Arial" w:hAnsi="Arial" w:cs="Arial"/>
          <w:sz w:val="22"/>
        </w:rPr>
        <w:t>TSRA</w:t>
      </w:r>
      <w:proofErr w:type="spellEnd"/>
      <w:r>
        <w:rPr>
          <w:rFonts w:ascii="Arial" w:hAnsi="Arial" w:cs="Arial"/>
          <w:sz w:val="22"/>
        </w:rPr>
        <w:t xml:space="preserve"> funded service organisations.</w:t>
      </w:r>
    </w:p>
    <w:p w:rsidR="0083335B" w:rsidRPr="00970939" w:rsidRDefault="0083335B" w:rsidP="0083335B">
      <w:pPr>
        <w:jc w:val="both"/>
        <w:rPr>
          <w:rFonts w:ascii="Arial" w:hAnsi="Arial" w:cs="Arial"/>
          <w:sz w:val="22"/>
          <w:szCs w:val="22"/>
        </w:rPr>
      </w:pPr>
    </w:p>
    <w:p w:rsidR="002F4AFB" w:rsidRPr="00970939" w:rsidRDefault="002F4AFB" w:rsidP="0083335B">
      <w:pPr>
        <w:jc w:val="both"/>
        <w:rPr>
          <w:rFonts w:ascii="Arial" w:hAnsi="Arial" w:cs="Arial"/>
          <w:sz w:val="22"/>
          <w:szCs w:val="22"/>
        </w:rPr>
      </w:pPr>
      <w:r w:rsidRPr="00970939">
        <w:rPr>
          <w:rFonts w:ascii="Arial" w:hAnsi="Arial" w:cs="Arial"/>
          <w:sz w:val="22"/>
          <w:szCs w:val="22"/>
        </w:rPr>
        <w:t xml:space="preserve">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may conduct an evaluation of the project after its completion to measure its contribution to the targeted benefits under the Safe Communities Program</w:t>
      </w:r>
      <w:r w:rsidR="00CC6DAC">
        <w:rPr>
          <w:rFonts w:ascii="Arial" w:hAnsi="Arial" w:cs="Arial"/>
          <w:sz w:val="22"/>
          <w:szCs w:val="22"/>
        </w:rPr>
        <w:t>me</w:t>
      </w:r>
      <w:r w:rsidRPr="00970939">
        <w:rPr>
          <w:rFonts w:ascii="Arial" w:hAnsi="Arial" w:cs="Arial"/>
          <w:sz w:val="22"/>
          <w:szCs w:val="22"/>
        </w:rPr>
        <w:t>.</w:t>
      </w:r>
    </w:p>
    <w:p w:rsidR="009147FC" w:rsidRPr="009328C6" w:rsidRDefault="009147FC" w:rsidP="009328C6">
      <w:pPr>
        <w:pBdr>
          <w:bottom w:val="single" w:sz="4" w:space="1" w:color="auto"/>
        </w:pBdr>
        <w:rPr>
          <w:rFonts w:ascii="Arial" w:hAnsi="Arial" w:cs="Arial"/>
        </w:rPr>
      </w:pPr>
    </w:p>
    <w:p w:rsidR="003B193B" w:rsidRPr="00970939" w:rsidRDefault="0041340F" w:rsidP="002F4AFB">
      <w:pPr>
        <w:pStyle w:val="Heading2"/>
        <w:rPr>
          <w:sz w:val="26"/>
          <w:szCs w:val="26"/>
        </w:rPr>
      </w:pPr>
      <w:r>
        <w:rPr>
          <w:sz w:val="26"/>
          <w:szCs w:val="26"/>
        </w:rPr>
        <w:t>Part C</w:t>
      </w:r>
      <w:r w:rsidR="009147FC" w:rsidRPr="00970939">
        <w:rPr>
          <w:sz w:val="26"/>
          <w:szCs w:val="26"/>
        </w:rPr>
        <w:t xml:space="preserve"> – Administrative Information </w:t>
      </w:r>
    </w:p>
    <w:p w:rsidR="003B193B" w:rsidRPr="00970939" w:rsidRDefault="003B193B" w:rsidP="003B193B">
      <w:pPr>
        <w:pStyle w:val="Heading3"/>
        <w:rPr>
          <w:sz w:val="24"/>
          <w:szCs w:val="24"/>
        </w:rPr>
      </w:pPr>
      <w:r w:rsidRPr="00970939">
        <w:rPr>
          <w:sz w:val="24"/>
          <w:szCs w:val="24"/>
        </w:rPr>
        <w:t>Late applications</w:t>
      </w:r>
    </w:p>
    <w:p w:rsidR="006414A0" w:rsidRPr="00970939" w:rsidRDefault="006414A0" w:rsidP="0083335B">
      <w:pPr>
        <w:pStyle w:val="Pa7"/>
        <w:spacing w:before="40" w:after="40"/>
        <w:jc w:val="both"/>
        <w:rPr>
          <w:rFonts w:ascii="Arial" w:hAnsi="Arial" w:cs="Arial"/>
          <w:sz w:val="22"/>
          <w:szCs w:val="22"/>
        </w:rPr>
      </w:pPr>
      <w:r w:rsidRPr="00970939">
        <w:rPr>
          <w:rFonts w:ascii="Arial" w:hAnsi="Arial" w:cs="Arial"/>
          <w:sz w:val="22"/>
          <w:szCs w:val="22"/>
        </w:rPr>
        <w:t xml:space="preserve">Late applications will be considered only in exceptional circumstances. These will be determined on a case-by-case basis by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Where there are unforeseen circumstances that prevent you from getting your application to us on time, you should contact </w:t>
      </w:r>
      <w:r w:rsidR="00911305">
        <w:rPr>
          <w:rFonts w:ascii="Arial" w:hAnsi="Arial" w:cs="Arial"/>
          <w:sz w:val="22"/>
          <w:szCs w:val="22"/>
        </w:rPr>
        <w:t xml:space="preserve">the </w:t>
      </w:r>
      <w:proofErr w:type="spellStart"/>
      <w:r w:rsidR="00911305">
        <w:rPr>
          <w:rFonts w:ascii="Arial" w:hAnsi="Arial" w:cs="Arial"/>
          <w:sz w:val="22"/>
          <w:szCs w:val="22"/>
        </w:rPr>
        <w:t>TSRA</w:t>
      </w:r>
      <w:proofErr w:type="spellEnd"/>
      <w:r w:rsidR="00911305">
        <w:rPr>
          <w:rFonts w:ascii="Arial" w:hAnsi="Arial" w:cs="Arial"/>
          <w:sz w:val="22"/>
          <w:szCs w:val="22"/>
        </w:rPr>
        <w:t xml:space="preserve"> Contract Officer </w:t>
      </w:r>
      <w:r w:rsidR="0065075C">
        <w:rPr>
          <w:rFonts w:ascii="Arial" w:hAnsi="Arial" w:cs="Arial"/>
          <w:sz w:val="22"/>
          <w:szCs w:val="22"/>
        </w:rPr>
        <w:t>as soon as possible by phone</w:t>
      </w:r>
      <w:r w:rsidR="0065075C" w:rsidRPr="0065075C">
        <w:rPr>
          <w:rFonts w:ascii="Arial" w:hAnsi="Arial" w:cs="Arial"/>
          <w:sz w:val="22"/>
        </w:rPr>
        <w:t xml:space="preserve">, on 07 4069 0700, or email, </w:t>
      </w:r>
      <w:hyperlink r:id="rId12" w:history="1">
        <w:r w:rsidR="00911305" w:rsidRPr="00911305">
          <w:rPr>
            <w:rStyle w:val="Hyperlink"/>
            <w:rFonts w:ascii="Arial" w:hAnsi="Arial" w:cs="Arial"/>
            <w:sz w:val="22"/>
            <w:szCs w:val="22"/>
          </w:rPr>
          <w:t>grantapplications@tsra.gov.au</w:t>
        </w:r>
      </w:hyperlink>
      <w:r w:rsidR="00911305">
        <w:rPr>
          <w:rStyle w:val="Hyperlink"/>
          <w:rFonts w:cs="Arial"/>
          <w:sz w:val="28"/>
          <w:szCs w:val="28"/>
        </w:rPr>
        <w:t xml:space="preserve"> </w:t>
      </w:r>
      <w:bookmarkStart w:id="0" w:name="_GoBack"/>
      <w:r w:rsidR="00911305">
        <w:rPr>
          <w:rFonts w:ascii="Arial" w:hAnsi="Arial" w:cs="Arial"/>
          <w:sz w:val="22"/>
          <w:szCs w:val="22"/>
        </w:rPr>
        <w:t>before the closing of the grant round.</w:t>
      </w:r>
      <w:r w:rsidRPr="00970939">
        <w:rPr>
          <w:rFonts w:ascii="Arial" w:hAnsi="Arial" w:cs="Arial"/>
          <w:sz w:val="22"/>
          <w:szCs w:val="22"/>
        </w:rPr>
        <w:t xml:space="preserve"> </w:t>
      </w:r>
      <w:bookmarkEnd w:id="0"/>
      <w:r w:rsidRPr="00970939">
        <w:rPr>
          <w:rFonts w:ascii="Arial" w:hAnsi="Arial" w:cs="Arial"/>
          <w:sz w:val="22"/>
          <w:szCs w:val="22"/>
        </w:rPr>
        <w:t xml:space="preserve">You should confirm the </w:t>
      </w:r>
      <w:r w:rsidR="009328C6" w:rsidRPr="00970939">
        <w:rPr>
          <w:rFonts w:ascii="Arial" w:hAnsi="Arial" w:cs="Arial"/>
          <w:sz w:val="22"/>
          <w:szCs w:val="22"/>
        </w:rPr>
        <w:t>unforeseen</w:t>
      </w:r>
      <w:r w:rsidRPr="00970939">
        <w:rPr>
          <w:rFonts w:ascii="Arial" w:hAnsi="Arial" w:cs="Arial"/>
          <w:sz w:val="22"/>
          <w:szCs w:val="22"/>
        </w:rPr>
        <w:t xml:space="preserve"> circumstances briefly in writing as part of your submission.</w:t>
      </w:r>
    </w:p>
    <w:p w:rsidR="006414A0" w:rsidRPr="00970939" w:rsidRDefault="006414A0" w:rsidP="0083335B">
      <w:pPr>
        <w:pStyle w:val="Heading3"/>
        <w:jc w:val="both"/>
        <w:rPr>
          <w:b w:val="0"/>
          <w:sz w:val="22"/>
          <w:szCs w:val="22"/>
        </w:rPr>
      </w:pPr>
      <w:r w:rsidRPr="00970939">
        <w:rPr>
          <w:b w:val="0"/>
          <w:sz w:val="22"/>
          <w:szCs w:val="22"/>
        </w:rPr>
        <w:t xml:space="preserve">Prior notification of the late submission and the reason for late submission will be taken into account in determining whether the submission will be accepted. </w:t>
      </w:r>
    </w:p>
    <w:p w:rsidR="003B193B" w:rsidRPr="00970939" w:rsidRDefault="003B193B" w:rsidP="0083335B">
      <w:pPr>
        <w:pStyle w:val="Heading3"/>
        <w:jc w:val="both"/>
        <w:rPr>
          <w:sz w:val="24"/>
          <w:szCs w:val="24"/>
        </w:rPr>
      </w:pPr>
      <w:r w:rsidRPr="00970939">
        <w:rPr>
          <w:sz w:val="24"/>
          <w:szCs w:val="24"/>
        </w:rPr>
        <w:t>Funding Allocation</w:t>
      </w:r>
    </w:p>
    <w:p w:rsidR="006414A0" w:rsidRPr="00970939" w:rsidRDefault="006414A0" w:rsidP="0083335B">
      <w:pPr>
        <w:jc w:val="both"/>
        <w:rPr>
          <w:rFonts w:ascii="Arial" w:hAnsi="Arial" w:cs="Arial"/>
          <w:i/>
          <w:sz w:val="22"/>
          <w:szCs w:val="22"/>
        </w:rPr>
      </w:pPr>
      <w:r w:rsidRPr="00970939">
        <w:rPr>
          <w:rFonts w:ascii="Arial" w:hAnsi="Arial" w:cs="Arial"/>
          <w:sz w:val="22"/>
          <w:szCs w:val="22"/>
        </w:rPr>
        <w:t xml:space="preserve">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may approve less funding than requested in an application, or approve an application in part. If this occurs,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will work with you to revise your project’s objectives, activities and budget. </w:t>
      </w:r>
    </w:p>
    <w:p w:rsidR="003B193B" w:rsidRPr="00970939" w:rsidRDefault="003B193B" w:rsidP="0083335B">
      <w:pPr>
        <w:pStyle w:val="Heading3"/>
        <w:jc w:val="both"/>
        <w:rPr>
          <w:sz w:val="24"/>
          <w:szCs w:val="24"/>
        </w:rPr>
      </w:pPr>
      <w:r w:rsidRPr="00970939">
        <w:rPr>
          <w:sz w:val="24"/>
          <w:szCs w:val="24"/>
        </w:rPr>
        <w:t>Funding Agreements</w:t>
      </w:r>
    </w:p>
    <w:p w:rsidR="006414A0" w:rsidRPr="00970939" w:rsidRDefault="006414A0" w:rsidP="0083335B">
      <w:pPr>
        <w:jc w:val="both"/>
        <w:rPr>
          <w:rFonts w:ascii="Arial" w:hAnsi="Arial" w:cs="Arial"/>
          <w:sz w:val="22"/>
          <w:szCs w:val="22"/>
        </w:rPr>
      </w:pPr>
      <w:r w:rsidRPr="00970939">
        <w:rPr>
          <w:rFonts w:ascii="Arial" w:hAnsi="Arial" w:cs="Arial"/>
          <w:sz w:val="22"/>
          <w:szCs w:val="22"/>
        </w:rPr>
        <w:t xml:space="preserve">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will issue the Standard Commonwealth Government Program</w:t>
      </w:r>
      <w:r w:rsidR="00CC6DAC">
        <w:rPr>
          <w:rFonts w:ascii="Arial" w:hAnsi="Arial" w:cs="Arial"/>
          <w:sz w:val="22"/>
          <w:szCs w:val="22"/>
        </w:rPr>
        <w:t>me</w:t>
      </w:r>
      <w:r w:rsidRPr="00970939">
        <w:rPr>
          <w:rFonts w:ascii="Arial" w:hAnsi="Arial" w:cs="Arial"/>
          <w:sz w:val="22"/>
          <w:szCs w:val="22"/>
        </w:rPr>
        <w:t xml:space="preserve"> Funding Agreement (</w:t>
      </w:r>
      <w:proofErr w:type="spellStart"/>
      <w:r w:rsidRPr="00970939">
        <w:rPr>
          <w:rFonts w:ascii="Arial" w:hAnsi="Arial" w:cs="Arial"/>
          <w:sz w:val="22"/>
          <w:szCs w:val="22"/>
        </w:rPr>
        <w:t>PFA</w:t>
      </w:r>
      <w:proofErr w:type="spellEnd"/>
      <w:r w:rsidRPr="00970939">
        <w:rPr>
          <w:rFonts w:ascii="Arial" w:hAnsi="Arial" w:cs="Arial"/>
          <w:sz w:val="22"/>
          <w:szCs w:val="22"/>
        </w:rPr>
        <w:t xml:space="preserve">). </w:t>
      </w:r>
    </w:p>
    <w:p w:rsidR="003B193B" w:rsidRPr="00970939" w:rsidRDefault="003B193B" w:rsidP="0083335B">
      <w:pPr>
        <w:pStyle w:val="Heading3"/>
        <w:jc w:val="both"/>
        <w:rPr>
          <w:sz w:val="24"/>
          <w:szCs w:val="24"/>
        </w:rPr>
      </w:pPr>
      <w:r w:rsidRPr="00970939">
        <w:rPr>
          <w:sz w:val="24"/>
          <w:szCs w:val="24"/>
        </w:rPr>
        <w:t>Payments</w:t>
      </w:r>
    </w:p>
    <w:p w:rsidR="006414A0" w:rsidRPr="00970939" w:rsidRDefault="006414A0" w:rsidP="0083335B">
      <w:pPr>
        <w:pStyle w:val="Pa7"/>
        <w:spacing w:before="40" w:after="40"/>
        <w:jc w:val="both"/>
        <w:rPr>
          <w:rFonts w:ascii="Arial" w:hAnsi="Arial" w:cs="Arial"/>
          <w:sz w:val="22"/>
          <w:szCs w:val="22"/>
        </w:rPr>
      </w:pPr>
      <w:r w:rsidRPr="00970939">
        <w:rPr>
          <w:rFonts w:ascii="Arial" w:hAnsi="Arial" w:cs="Arial"/>
          <w:sz w:val="22"/>
          <w:szCs w:val="22"/>
        </w:rPr>
        <w:t xml:space="preserve">All funding will be subject to the terms and conditions set out in the </w:t>
      </w:r>
      <w:proofErr w:type="spellStart"/>
      <w:r w:rsidRPr="00970939">
        <w:rPr>
          <w:rFonts w:ascii="Arial" w:hAnsi="Arial" w:cs="Arial"/>
          <w:sz w:val="22"/>
          <w:szCs w:val="22"/>
        </w:rPr>
        <w:t>PFA</w:t>
      </w:r>
      <w:proofErr w:type="spellEnd"/>
      <w:r w:rsidRPr="00970939">
        <w:rPr>
          <w:rFonts w:ascii="Arial" w:hAnsi="Arial" w:cs="Arial"/>
          <w:sz w:val="22"/>
          <w:szCs w:val="22"/>
        </w:rPr>
        <w:t>, particularly conditions relating to the deposit of funds, auditing and unspent program</w:t>
      </w:r>
      <w:r w:rsidR="00CC6DAC">
        <w:rPr>
          <w:rFonts w:ascii="Arial" w:hAnsi="Arial" w:cs="Arial"/>
          <w:sz w:val="22"/>
          <w:szCs w:val="22"/>
        </w:rPr>
        <w:t>me</w:t>
      </w:r>
      <w:r w:rsidRPr="00970939">
        <w:rPr>
          <w:rFonts w:ascii="Arial" w:hAnsi="Arial" w:cs="Arial"/>
          <w:sz w:val="22"/>
          <w:szCs w:val="22"/>
        </w:rPr>
        <w:t xml:space="preserve"> monies.</w:t>
      </w:r>
    </w:p>
    <w:p w:rsidR="006414A0" w:rsidRPr="00970939" w:rsidRDefault="006414A0" w:rsidP="0083335B">
      <w:pPr>
        <w:jc w:val="both"/>
        <w:rPr>
          <w:rFonts w:ascii="Arial" w:hAnsi="Arial" w:cs="Arial"/>
          <w:sz w:val="22"/>
          <w:szCs w:val="22"/>
        </w:rPr>
      </w:pPr>
      <w:r w:rsidRPr="00970939">
        <w:rPr>
          <w:rFonts w:ascii="Arial" w:hAnsi="Arial" w:cs="Arial"/>
          <w:sz w:val="22"/>
          <w:szCs w:val="22"/>
        </w:rPr>
        <w:t xml:space="preserve">All payments will be made in line with the schedule and milestones set out in the </w:t>
      </w:r>
      <w:proofErr w:type="spellStart"/>
      <w:r w:rsidRPr="00970939">
        <w:rPr>
          <w:rFonts w:ascii="Arial" w:hAnsi="Arial" w:cs="Arial"/>
          <w:sz w:val="22"/>
          <w:szCs w:val="22"/>
        </w:rPr>
        <w:t>PFA</w:t>
      </w:r>
      <w:proofErr w:type="spellEnd"/>
      <w:r w:rsidRPr="00970939">
        <w:rPr>
          <w:rFonts w:ascii="Arial" w:hAnsi="Arial" w:cs="Arial"/>
          <w:sz w:val="22"/>
          <w:szCs w:val="22"/>
        </w:rPr>
        <w:t>.</w:t>
      </w:r>
    </w:p>
    <w:p w:rsidR="003B193B" w:rsidRPr="00970939" w:rsidRDefault="003B193B" w:rsidP="0083335B">
      <w:pPr>
        <w:pStyle w:val="Heading3"/>
        <w:jc w:val="both"/>
        <w:rPr>
          <w:sz w:val="24"/>
          <w:szCs w:val="24"/>
        </w:rPr>
      </w:pPr>
      <w:r w:rsidRPr="00970939">
        <w:rPr>
          <w:sz w:val="24"/>
          <w:szCs w:val="24"/>
        </w:rPr>
        <w:t>Conflict of Interest</w:t>
      </w:r>
    </w:p>
    <w:p w:rsidR="006414A0" w:rsidRPr="00970939" w:rsidRDefault="006414A0" w:rsidP="0083335B">
      <w:pPr>
        <w:pStyle w:val="Pa7"/>
        <w:spacing w:before="40" w:after="40"/>
        <w:jc w:val="both"/>
        <w:rPr>
          <w:rFonts w:ascii="Arial" w:hAnsi="Arial" w:cs="Arial"/>
          <w:i/>
          <w:sz w:val="22"/>
          <w:szCs w:val="22"/>
        </w:rPr>
      </w:pPr>
      <w:r w:rsidRPr="00970939">
        <w:rPr>
          <w:rFonts w:ascii="Arial" w:hAnsi="Arial" w:cs="Arial"/>
          <w:sz w:val="22"/>
          <w:szCs w:val="22"/>
        </w:rPr>
        <w:t xml:space="preserve">Successful applicants need to undertake their activities in a way that avoids conflicts of interest, whether perceived or actual.  This applies particularly to the selection of </w:t>
      </w:r>
      <w:r w:rsidRPr="00970939">
        <w:rPr>
          <w:rFonts w:ascii="Arial" w:hAnsi="Arial" w:cs="Arial"/>
          <w:sz w:val="22"/>
          <w:szCs w:val="22"/>
        </w:rPr>
        <w:lastRenderedPageBreak/>
        <w:t>suppliers to the project, who must be chosen and engaged in an open and competitive process and in a way that maximises value for money.</w:t>
      </w:r>
    </w:p>
    <w:p w:rsidR="003B193B" w:rsidRPr="00970939" w:rsidRDefault="003B193B" w:rsidP="0083335B">
      <w:pPr>
        <w:pStyle w:val="Heading3"/>
        <w:jc w:val="both"/>
        <w:rPr>
          <w:sz w:val="24"/>
          <w:szCs w:val="24"/>
        </w:rPr>
      </w:pPr>
      <w:r w:rsidRPr="00970939">
        <w:rPr>
          <w:sz w:val="24"/>
          <w:szCs w:val="24"/>
        </w:rPr>
        <w:t>Legal Advice</w:t>
      </w:r>
    </w:p>
    <w:p w:rsidR="006414A0" w:rsidRPr="00970939" w:rsidRDefault="006414A0" w:rsidP="0083335B">
      <w:pPr>
        <w:jc w:val="both"/>
        <w:rPr>
          <w:rFonts w:ascii="Arial" w:hAnsi="Arial" w:cs="Arial"/>
          <w:sz w:val="22"/>
          <w:szCs w:val="22"/>
        </w:rPr>
      </w:pPr>
      <w:r w:rsidRPr="00970939">
        <w:rPr>
          <w:rFonts w:ascii="Arial" w:hAnsi="Arial" w:cs="Arial"/>
          <w:sz w:val="22"/>
          <w:szCs w:val="22"/>
        </w:rPr>
        <w:t xml:space="preserve">Please note that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does not provide legal advice to applicants. You should seek your own independent professional advice on all financial and legal matters, including compliance with any statutory obligations.</w:t>
      </w:r>
    </w:p>
    <w:p w:rsidR="003B193B" w:rsidRPr="00970939" w:rsidRDefault="003B193B" w:rsidP="0083335B">
      <w:pPr>
        <w:pStyle w:val="Heading3"/>
        <w:jc w:val="both"/>
        <w:rPr>
          <w:sz w:val="24"/>
          <w:szCs w:val="24"/>
        </w:rPr>
      </w:pPr>
      <w:r w:rsidRPr="00970939">
        <w:rPr>
          <w:sz w:val="24"/>
          <w:szCs w:val="24"/>
        </w:rPr>
        <w:t>Tax and Government funding</w:t>
      </w:r>
    </w:p>
    <w:p w:rsidR="006414A0" w:rsidRPr="00970939" w:rsidRDefault="006414A0" w:rsidP="0083335B">
      <w:pPr>
        <w:pStyle w:val="Pa7"/>
        <w:spacing w:before="40" w:after="40"/>
        <w:jc w:val="both"/>
        <w:rPr>
          <w:rFonts w:ascii="Arial" w:hAnsi="Arial" w:cs="Arial"/>
          <w:sz w:val="22"/>
          <w:szCs w:val="22"/>
        </w:rPr>
      </w:pPr>
      <w:r w:rsidRPr="00970939">
        <w:rPr>
          <w:rFonts w:ascii="Arial" w:hAnsi="Arial" w:cs="Arial"/>
          <w:sz w:val="22"/>
          <w:szCs w:val="22"/>
        </w:rPr>
        <w:t xml:space="preserve">There may be taxation consequences of obtaining funding from 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depending on individual circumstances.  Applicants should make their own enquiries about the taxation consequences (including income tax and Goods and Services Tax) of obtaining funding by consulting their financial adviser or the Australian Taxation Office Business Call Centre on 13 28 66.</w:t>
      </w:r>
    </w:p>
    <w:p w:rsidR="003B193B" w:rsidRPr="00970939" w:rsidRDefault="003B193B" w:rsidP="0083335B">
      <w:pPr>
        <w:pStyle w:val="Heading3"/>
        <w:jc w:val="both"/>
        <w:rPr>
          <w:sz w:val="24"/>
          <w:szCs w:val="24"/>
        </w:rPr>
      </w:pPr>
      <w:r w:rsidRPr="00970939">
        <w:rPr>
          <w:sz w:val="24"/>
          <w:szCs w:val="24"/>
        </w:rPr>
        <w:t>Background Checks</w:t>
      </w:r>
    </w:p>
    <w:p w:rsidR="006414A0" w:rsidRPr="00970939" w:rsidRDefault="006414A0" w:rsidP="0083335B">
      <w:pPr>
        <w:jc w:val="both"/>
        <w:rPr>
          <w:rFonts w:ascii="Arial" w:hAnsi="Arial" w:cs="Arial"/>
          <w:i/>
          <w:sz w:val="22"/>
          <w:szCs w:val="22"/>
        </w:rPr>
      </w:pPr>
      <w:r w:rsidRPr="00970939">
        <w:rPr>
          <w:rFonts w:ascii="Arial" w:hAnsi="Arial" w:cs="Arial"/>
          <w:sz w:val="22"/>
          <w:szCs w:val="22"/>
        </w:rPr>
        <w:t xml:space="preserve">The </w:t>
      </w:r>
      <w:proofErr w:type="spellStart"/>
      <w:r w:rsidRPr="00970939">
        <w:rPr>
          <w:rFonts w:ascii="Arial" w:hAnsi="Arial" w:cs="Arial"/>
          <w:sz w:val="22"/>
          <w:szCs w:val="22"/>
        </w:rPr>
        <w:t>TSRA</w:t>
      </w:r>
      <w:proofErr w:type="spellEnd"/>
      <w:r w:rsidRPr="00970939">
        <w:rPr>
          <w:rFonts w:ascii="Arial" w:hAnsi="Arial" w:cs="Arial"/>
          <w:sz w:val="22"/>
          <w:szCs w:val="22"/>
        </w:rPr>
        <w:t xml:space="preserve"> may at any time in the evaluation and selection process, examine the financial records of the applicant and undertake background checks, including criminal records, to determine the good character and business reputation of the applicant and/or funding recipient.</w:t>
      </w:r>
    </w:p>
    <w:p w:rsidR="006414A0" w:rsidRPr="00970939" w:rsidRDefault="003B193B" w:rsidP="0083335B">
      <w:pPr>
        <w:pStyle w:val="Heading3"/>
        <w:contextualSpacing/>
        <w:jc w:val="both"/>
        <w:rPr>
          <w:sz w:val="24"/>
          <w:szCs w:val="24"/>
        </w:rPr>
      </w:pPr>
      <w:r w:rsidRPr="00970939">
        <w:rPr>
          <w:sz w:val="24"/>
          <w:szCs w:val="24"/>
        </w:rPr>
        <w:t>Privacy</w:t>
      </w:r>
    </w:p>
    <w:p w:rsidR="006414A0" w:rsidRPr="00970939" w:rsidRDefault="006414A0" w:rsidP="0083335B">
      <w:pPr>
        <w:pStyle w:val="Heading3"/>
        <w:contextualSpacing/>
        <w:jc w:val="both"/>
        <w:rPr>
          <w:sz w:val="22"/>
          <w:szCs w:val="22"/>
        </w:rPr>
      </w:pPr>
      <w:r w:rsidRPr="00970939">
        <w:rPr>
          <w:b w:val="0"/>
          <w:sz w:val="22"/>
          <w:szCs w:val="22"/>
        </w:rPr>
        <w:t xml:space="preserve">The </w:t>
      </w:r>
      <w:proofErr w:type="spellStart"/>
      <w:r w:rsidRPr="00970939">
        <w:rPr>
          <w:b w:val="0"/>
          <w:sz w:val="22"/>
          <w:szCs w:val="22"/>
        </w:rPr>
        <w:t>TSRA</w:t>
      </w:r>
      <w:proofErr w:type="spellEnd"/>
      <w:r w:rsidRPr="00970939">
        <w:rPr>
          <w:b w:val="0"/>
          <w:sz w:val="22"/>
          <w:szCs w:val="22"/>
        </w:rPr>
        <w:t xml:space="preserve"> is accountable to Parliament and to the public in respect of all aspects of its Program</w:t>
      </w:r>
      <w:r w:rsidR="00060F1F">
        <w:rPr>
          <w:b w:val="0"/>
          <w:sz w:val="22"/>
          <w:szCs w:val="22"/>
        </w:rPr>
        <w:t>me</w:t>
      </w:r>
      <w:r w:rsidRPr="00970939">
        <w:rPr>
          <w:b w:val="0"/>
          <w:sz w:val="22"/>
          <w:szCs w:val="22"/>
        </w:rPr>
        <w:t xml:space="preserve">s. Treatment of submissions is subject to special obligations placed on Australian Public Service employees by the </w:t>
      </w:r>
      <w:r w:rsidRPr="00970939">
        <w:rPr>
          <w:b w:val="0"/>
          <w:i/>
          <w:iCs/>
          <w:sz w:val="22"/>
          <w:szCs w:val="22"/>
        </w:rPr>
        <w:t xml:space="preserve">Privacy Act 1988 </w:t>
      </w:r>
      <w:r w:rsidRPr="00970939">
        <w:rPr>
          <w:b w:val="0"/>
          <w:sz w:val="22"/>
          <w:szCs w:val="22"/>
        </w:rPr>
        <w:t xml:space="preserve">and the </w:t>
      </w:r>
      <w:r w:rsidRPr="00970939">
        <w:rPr>
          <w:b w:val="0"/>
          <w:i/>
          <w:iCs/>
          <w:sz w:val="22"/>
          <w:szCs w:val="22"/>
        </w:rPr>
        <w:t>Public Service Act 1999</w:t>
      </w:r>
      <w:r w:rsidRPr="00970939">
        <w:rPr>
          <w:b w:val="0"/>
          <w:sz w:val="22"/>
          <w:szCs w:val="22"/>
        </w:rPr>
        <w:t xml:space="preserve">, which govern the </w:t>
      </w:r>
      <w:proofErr w:type="spellStart"/>
      <w:r w:rsidRPr="00970939">
        <w:rPr>
          <w:b w:val="0"/>
          <w:sz w:val="22"/>
          <w:szCs w:val="22"/>
        </w:rPr>
        <w:t>TSRA’s</w:t>
      </w:r>
      <w:proofErr w:type="spellEnd"/>
      <w:r w:rsidRPr="00970939">
        <w:rPr>
          <w:b w:val="0"/>
          <w:sz w:val="22"/>
          <w:szCs w:val="22"/>
        </w:rPr>
        <w:t xml:space="preserve"> use of the information provided. In this context, the </w:t>
      </w:r>
      <w:proofErr w:type="spellStart"/>
      <w:r w:rsidRPr="00970939">
        <w:rPr>
          <w:b w:val="0"/>
          <w:sz w:val="22"/>
          <w:szCs w:val="22"/>
        </w:rPr>
        <w:t>TSRA</w:t>
      </w:r>
      <w:proofErr w:type="spellEnd"/>
      <w:r w:rsidRPr="00970939">
        <w:rPr>
          <w:b w:val="0"/>
          <w:sz w:val="22"/>
          <w:szCs w:val="22"/>
        </w:rPr>
        <w:t xml:space="preserve"> is generally unable to accept grant submissions on a confidential basis.</w:t>
      </w:r>
      <w:r w:rsidRPr="00970939">
        <w:rPr>
          <w:rFonts w:ascii="Times New Roman" w:hAnsi="Times New Roman" w:cs="Times New Roman"/>
          <w:b w:val="0"/>
          <w:sz w:val="22"/>
          <w:szCs w:val="22"/>
        </w:rPr>
        <w:t xml:space="preserve"> </w:t>
      </w:r>
    </w:p>
    <w:p w:rsidR="003B193B" w:rsidRPr="003B193B" w:rsidRDefault="003B193B" w:rsidP="003B193B"/>
    <w:p w:rsidR="00E6255E" w:rsidRDefault="00E6255E"/>
    <w:p w:rsidR="00E6255E" w:rsidRDefault="00E6255E"/>
    <w:p w:rsidR="008C259D" w:rsidRDefault="008C259D"/>
    <w:p w:rsidR="008C259D" w:rsidRDefault="008C259D"/>
    <w:sectPr w:rsidR="008C259D" w:rsidSect="00023DCB">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CD" w:rsidRDefault="007F53CD">
      <w:r>
        <w:separator/>
      </w:r>
    </w:p>
  </w:endnote>
  <w:endnote w:type="continuationSeparator" w:id="0">
    <w:p w:rsidR="007F53CD" w:rsidRDefault="007F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75" w:rsidRPr="00D96257" w:rsidRDefault="00472A75" w:rsidP="00DE4CDC">
    <w:pPr>
      <w:pStyle w:val="Footer"/>
      <w:jc w:val="center"/>
      <w:rPr>
        <w:sz w:val="18"/>
        <w:szCs w:val="18"/>
      </w:rPr>
    </w:pPr>
    <w:r w:rsidRPr="00D96257">
      <w:rPr>
        <w:sz w:val="18"/>
        <w:szCs w:val="18"/>
      </w:rPr>
      <w:t xml:space="preserve">Page </w:t>
    </w:r>
    <w:r w:rsidR="00F72AE8" w:rsidRPr="00D96257">
      <w:rPr>
        <w:rStyle w:val="PageNumber"/>
        <w:sz w:val="18"/>
        <w:szCs w:val="18"/>
      </w:rPr>
      <w:fldChar w:fldCharType="begin"/>
    </w:r>
    <w:r w:rsidRPr="00D96257">
      <w:rPr>
        <w:rStyle w:val="PageNumber"/>
        <w:sz w:val="18"/>
        <w:szCs w:val="18"/>
      </w:rPr>
      <w:instrText xml:space="preserve"> PAGE </w:instrText>
    </w:r>
    <w:r w:rsidR="00F72AE8" w:rsidRPr="00D96257">
      <w:rPr>
        <w:rStyle w:val="PageNumber"/>
        <w:sz w:val="18"/>
        <w:szCs w:val="18"/>
      </w:rPr>
      <w:fldChar w:fldCharType="separate"/>
    </w:r>
    <w:r w:rsidR="00911305">
      <w:rPr>
        <w:rStyle w:val="PageNumber"/>
        <w:noProof/>
        <w:sz w:val="18"/>
        <w:szCs w:val="18"/>
      </w:rPr>
      <w:t>6</w:t>
    </w:r>
    <w:r w:rsidR="00F72AE8" w:rsidRPr="00D96257">
      <w:rPr>
        <w:rStyle w:val="PageNumber"/>
        <w:sz w:val="18"/>
        <w:szCs w:val="18"/>
      </w:rPr>
      <w:fldChar w:fldCharType="end"/>
    </w:r>
    <w:r w:rsidRPr="00D96257">
      <w:rPr>
        <w:rStyle w:val="PageNumber"/>
        <w:sz w:val="18"/>
        <w:szCs w:val="18"/>
      </w:rPr>
      <w:t xml:space="preserve"> of </w:t>
    </w:r>
    <w:r w:rsidR="00F72AE8" w:rsidRPr="00D96257">
      <w:rPr>
        <w:rStyle w:val="PageNumber"/>
        <w:sz w:val="18"/>
        <w:szCs w:val="18"/>
      </w:rPr>
      <w:fldChar w:fldCharType="begin"/>
    </w:r>
    <w:r w:rsidRPr="00D96257">
      <w:rPr>
        <w:rStyle w:val="PageNumber"/>
        <w:sz w:val="18"/>
        <w:szCs w:val="18"/>
      </w:rPr>
      <w:instrText xml:space="preserve"> NUMPAGES </w:instrText>
    </w:r>
    <w:r w:rsidR="00F72AE8" w:rsidRPr="00D96257">
      <w:rPr>
        <w:rStyle w:val="PageNumber"/>
        <w:sz w:val="18"/>
        <w:szCs w:val="18"/>
      </w:rPr>
      <w:fldChar w:fldCharType="separate"/>
    </w:r>
    <w:r w:rsidR="00911305">
      <w:rPr>
        <w:rStyle w:val="PageNumber"/>
        <w:noProof/>
        <w:sz w:val="18"/>
        <w:szCs w:val="18"/>
      </w:rPr>
      <w:t>6</w:t>
    </w:r>
    <w:r w:rsidR="00F72AE8" w:rsidRPr="00D96257">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CD" w:rsidRDefault="007F53CD">
      <w:r>
        <w:separator/>
      </w:r>
    </w:p>
  </w:footnote>
  <w:footnote w:type="continuationSeparator" w:id="0">
    <w:p w:rsidR="007F53CD" w:rsidRDefault="007F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75" w:rsidRPr="00D96257" w:rsidRDefault="00472A75" w:rsidP="00D9625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20"/>
    <w:multiLevelType w:val="hybridMultilevel"/>
    <w:tmpl w:val="7A4E6A2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17C56"/>
    <w:multiLevelType w:val="hybridMultilevel"/>
    <w:tmpl w:val="BF76BA24"/>
    <w:lvl w:ilvl="0" w:tplc="0C090001">
      <w:start w:val="1"/>
      <w:numFmt w:val="bullet"/>
      <w:lvlText w:val=""/>
      <w:lvlJc w:val="left"/>
      <w:pPr>
        <w:ind w:left="720" w:hanging="360"/>
      </w:pPr>
      <w:rPr>
        <w:rFonts w:ascii="Symbol" w:hAnsi="Symbol" w:hint="default"/>
      </w:rPr>
    </w:lvl>
    <w:lvl w:ilvl="1" w:tplc="78FE1E9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6D202A"/>
    <w:multiLevelType w:val="hybridMultilevel"/>
    <w:tmpl w:val="1854A9AA"/>
    <w:lvl w:ilvl="0" w:tplc="52A4D7F0">
      <w:start w:val="1"/>
      <w:numFmt w:val="decimal"/>
      <w:lvlText w:val="%1."/>
      <w:lvlJc w:val="left"/>
      <w:pPr>
        <w:ind w:left="720" w:hanging="360"/>
      </w:pPr>
      <w:rPr>
        <w:rFonts w:ascii="Frutiger 55 Roman" w:hAnsi="Frutiger 55 Roman" w:cs="Frutiger 55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984444"/>
    <w:multiLevelType w:val="hybridMultilevel"/>
    <w:tmpl w:val="5D36620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64D12"/>
    <w:multiLevelType w:val="hybridMultilevel"/>
    <w:tmpl w:val="DA1282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50728"/>
    <w:multiLevelType w:val="hybridMultilevel"/>
    <w:tmpl w:val="F7786D2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B511B4"/>
    <w:multiLevelType w:val="hybridMultilevel"/>
    <w:tmpl w:val="BE1A9F96"/>
    <w:lvl w:ilvl="0" w:tplc="D2D4B744">
      <w:start w:val="1"/>
      <w:numFmt w:val="lowerLetter"/>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297B13"/>
    <w:multiLevelType w:val="hybridMultilevel"/>
    <w:tmpl w:val="ECB45B50"/>
    <w:lvl w:ilvl="0" w:tplc="62B89966">
      <w:start w:val="1"/>
      <w:numFmt w:val="lowerLetter"/>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0ED02F8"/>
    <w:multiLevelType w:val="hybridMultilevel"/>
    <w:tmpl w:val="D88632FC"/>
    <w:lvl w:ilvl="0" w:tplc="7CB8041A">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8127B21"/>
    <w:multiLevelType w:val="hybridMultilevel"/>
    <w:tmpl w:val="0E40F0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5680A"/>
    <w:multiLevelType w:val="hybridMultilevel"/>
    <w:tmpl w:val="311C76C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46A4D"/>
    <w:multiLevelType w:val="hybridMultilevel"/>
    <w:tmpl w:val="8C9CD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1D7857"/>
    <w:multiLevelType w:val="hybridMultilevel"/>
    <w:tmpl w:val="CD1889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02E6234"/>
    <w:multiLevelType w:val="hybridMultilevel"/>
    <w:tmpl w:val="56BA8D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21E20"/>
    <w:multiLevelType w:val="hybridMultilevel"/>
    <w:tmpl w:val="D69C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47B40"/>
    <w:multiLevelType w:val="hybridMultilevel"/>
    <w:tmpl w:val="F7ECBE78"/>
    <w:lvl w:ilvl="0" w:tplc="0C090001">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5B3927"/>
    <w:multiLevelType w:val="hybridMultilevel"/>
    <w:tmpl w:val="2B2A418C"/>
    <w:lvl w:ilvl="0" w:tplc="04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6"/>
  </w:num>
  <w:num w:numId="4">
    <w:abstractNumId w:val="9"/>
  </w:num>
  <w:num w:numId="5">
    <w:abstractNumId w:val="2"/>
  </w:num>
  <w:num w:numId="6">
    <w:abstractNumId w:val="5"/>
  </w:num>
  <w:num w:numId="7">
    <w:abstractNumId w:val="0"/>
  </w:num>
  <w:num w:numId="8">
    <w:abstractNumId w:val="11"/>
  </w:num>
  <w:num w:numId="9">
    <w:abstractNumId w:val="12"/>
  </w:num>
  <w:num w:numId="10">
    <w:abstractNumId w:val="3"/>
  </w:num>
  <w:num w:numId="11">
    <w:abstractNumId w:val="10"/>
  </w:num>
  <w:num w:numId="12">
    <w:abstractNumId w:val="15"/>
  </w:num>
  <w:num w:numId="13">
    <w:abstractNumId w:val="1"/>
  </w:num>
  <w:num w:numId="14">
    <w:abstractNumId w:val="7"/>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11"/>
    <w:rsid w:val="00002FCB"/>
    <w:rsid w:val="00023DCB"/>
    <w:rsid w:val="00043BA3"/>
    <w:rsid w:val="000504A7"/>
    <w:rsid w:val="00060F1F"/>
    <w:rsid w:val="00062307"/>
    <w:rsid w:val="000A7716"/>
    <w:rsid w:val="000E1872"/>
    <w:rsid w:val="000E2202"/>
    <w:rsid w:val="0013158C"/>
    <w:rsid w:val="00133B99"/>
    <w:rsid w:val="0014703E"/>
    <w:rsid w:val="00150C93"/>
    <w:rsid w:val="00163D15"/>
    <w:rsid w:val="00183542"/>
    <w:rsid w:val="00246DD4"/>
    <w:rsid w:val="0028600D"/>
    <w:rsid w:val="002A71B2"/>
    <w:rsid w:val="002B2567"/>
    <w:rsid w:val="002C1FD4"/>
    <w:rsid w:val="002D3A56"/>
    <w:rsid w:val="002F17F1"/>
    <w:rsid w:val="002F4AFB"/>
    <w:rsid w:val="00362B60"/>
    <w:rsid w:val="00371A2F"/>
    <w:rsid w:val="003915E3"/>
    <w:rsid w:val="003B193B"/>
    <w:rsid w:val="003B4E53"/>
    <w:rsid w:val="003C43A1"/>
    <w:rsid w:val="0041340F"/>
    <w:rsid w:val="00422436"/>
    <w:rsid w:val="004421EE"/>
    <w:rsid w:val="00472A75"/>
    <w:rsid w:val="0048194C"/>
    <w:rsid w:val="00487D87"/>
    <w:rsid w:val="004967AA"/>
    <w:rsid w:val="004B01E3"/>
    <w:rsid w:val="004F2FCA"/>
    <w:rsid w:val="00511186"/>
    <w:rsid w:val="00521099"/>
    <w:rsid w:val="00551340"/>
    <w:rsid w:val="00556ADA"/>
    <w:rsid w:val="00561D8D"/>
    <w:rsid w:val="005932F9"/>
    <w:rsid w:val="005A6443"/>
    <w:rsid w:val="005D4C84"/>
    <w:rsid w:val="005F212D"/>
    <w:rsid w:val="0062120F"/>
    <w:rsid w:val="006414A0"/>
    <w:rsid w:val="0065075C"/>
    <w:rsid w:val="0067744F"/>
    <w:rsid w:val="006C7672"/>
    <w:rsid w:val="007255BD"/>
    <w:rsid w:val="007C349C"/>
    <w:rsid w:val="007D13F0"/>
    <w:rsid w:val="007D1A9C"/>
    <w:rsid w:val="007E18D9"/>
    <w:rsid w:val="007E4C9D"/>
    <w:rsid w:val="007E7DEB"/>
    <w:rsid w:val="007F53CD"/>
    <w:rsid w:val="008005CF"/>
    <w:rsid w:val="00827228"/>
    <w:rsid w:val="008301F3"/>
    <w:rsid w:val="0083335B"/>
    <w:rsid w:val="00844E38"/>
    <w:rsid w:val="00846679"/>
    <w:rsid w:val="00891115"/>
    <w:rsid w:val="008C259D"/>
    <w:rsid w:val="00906481"/>
    <w:rsid w:val="0090765E"/>
    <w:rsid w:val="00911305"/>
    <w:rsid w:val="00913B21"/>
    <w:rsid w:val="009147FC"/>
    <w:rsid w:val="009235E6"/>
    <w:rsid w:val="009328C6"/>
    <w:rsid w:val="00960956"/>
    <w:rsid w:val="00970939"/>
    <w:rsid w:val="0097225B"/>
    <w:rsid w:val="009868DC"/>
    <w:rsid w:val="00996858"/>
    <w:rsid w:val="009B44F8"/>
    <w:rsid w:val="009B6745"/>
    <w:rsid w:val="00A44F12"/>
    <w:rsid w:val="00A534AE"/>
    <w:rsid w:val="00A66386"/>
    <w:rsid w:val="00A7424F"/>
    <w:rsid w:val="00AA2C13"/>
    <w:rsid w:val="00AC57B9"/>
    <w:rsid w:val="00BA2235"/>
    <w:rsid w:val="00BB225A"/>
    <w:rsid w:val="00BE3D93"/>
    <w:rsid w:val="00BE5707"/>
    <w:rsid w:val="00C060AC"/>
    <w:rsid w:val="00C10593"/>
    <w:rsid w:val="00C217AA"/>
    <w:rsid w:val="00C72B8D"/>
    <w:rsid w:val="00C90BAA"/>
    <w:rsid w:val="00C930EB"/>
    <w:rsid w:val="00CC6DAC"/>
    <w:rsid w:val="00CF4BB6"/>
    <w:rsid w:val="00D1714D"/>
    <w:rsid w:val="00D32F94"/>
    <w:rsid w:val="00D344DA"/>
    <w:rsid w:val="00D71517"/>
    <w:rsid w:val="00D96257"/>
    <w:rsid w:val="00DE4CDC"/>
    <w:rsid w:val="00E6255E"/>
    <w:rsid w:val="00EC608E"/>
    <w:rsid w:val="00EF02C6"/>
    <w:rsid w:val="00F00211"/>
    <w:rsid w:val="00F72AE8"/>
    <w:rsid w:val="00FC22E3"/>
    <w:rsid w:val="00FC3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27DD3-7FAB-489C-A996-BB91AE80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CB"/>
    <w:rPr>
      <w:sz w:val="24"/>
      <w:szCs w:val="24"/>
    </w:rPr>
  </w:style>
  <w:style w:type="paragraph" w:styleId="Heading1">
    <w:name w:val="heading 1"/>
    <w:basedOn w:val="Normal"/>
    <w:next w:val="Normal"/>
    <w:link w:val="Heading1Char"/>
    <w:uiPriority w:val="99"/>
    <w:qFormat/>
    <w:rsid w:val="00F002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25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2B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6257"/>
    <w:pPr>
      <w:tabs>
        <w:tab w:val="center" w:pos="4153"/>
        <w:tab w:val="right" w:pos="8306"/>
      </w:tabs>
    </w:pPr>
  </w:style>
  <w:style w:type="paragraph" w:styleId="Footer">
    <w:name w:val="footer"/>
    <w:basedOn w:val="Normal"/>
    <w:rsid w:val="00D96257"/>
    <w:pPr>
      <w:tabs>
        <w:tab w:val="center" w:pos="4153"/>
        <w:tab w:val="right" w:pos="8306"/>
      </w:tabs>
    </w:pPr>
  </w:style>
  <w:style w:type="character" w:styleId="PageNumber">
    <w:name w:val="page number"/>
    <w:basedOn w:val="DefaultParagraphFont"/>
    <w:rsid w:val="00D96257"/>
  </w:style>
  <w:style w:type="paragraph" w:styleId="BalloonText">
    <w:name w:val="Balloon Text"/>
    <w:basedOn w:val="Normal"/>
    <w:semiHidden/>
    <w:rsid w:val="00371A2F"/>
    <w:rPr>
      <w:rFonts w:ascii="Tahoma" w:hAnsi="Tahoma" w:cs="Tahoma"/>
      <w:sz w:val="16"/>
      <w:szCs w:val="16"/>
    </w:rPr>
  </w:style>
  <w:style w:type="paragraph" w:customStyle="1" w:styleId="Pa7">
    <w:name w:val="Pa7"/>
    <w:basedOn w:val="Normal"/>
    <w:next w:val="Normal"/>
    <w:uiPriority w:val="99"/>
    <w:rsid w:val="006414A0"/>
    <w:pPr>
      <w:autoSpaceDE w:val="0"/>
      <w:autoSpaceDN w:val="0"/>
      <w:adjustRightInd w:val="0"/>
      <w:spacing w:line="211" w:lineRule="atLeast"/>
    </w:pPr>
    <w:rPr>
      <w:rFonts w:ascii="Frutiger 45 Light" w:hAnsi="Frutiger 45 Light"/>
    </w:rPr>
  </w:style>
  <w:style w:type="paragraph" w:customStyle="1" w:styleId="Pa17">
    <w:name w:val="Pa17"/>
    <w:basedOn w:val="Normal"/>
    <w:next w:val="Normal"/>
    <w:uiPriority w:val="99"/>
    <w:rsid w:val="00846679"/>
    <w:pPr>
      <w:autoSpaceDE w:val="0"/>
      <w:autoSpaceDN w:val="0"/>
      <w:adjustRightInd w:val="0"/>
      <w:spacing w:line="211" w:lineRule="atLeast"/>
    </w:pPr>
    <w:rPr>
      <w:rFonts w:ascii="Frutiger 45 Light" w:hAnsi="Frutiger 45 Light"/>
    </w:rPr>
  </w:style>
  <w:style w:type="character" w:styleId="CommentReference">
    <w:name w:val="annotation reference"/>
    <w:basedOn w:val="DefaultParagraphFont"/>
    <w:rsid w:val="00906481"/>
    <w:rPr>
      <w:sz w:val="16"/>
      <w:szCs w:val="16"/>
    </w:rPr>
  </w:style>
  <w:style w:type="paragraph" w:styleId="CommentText">
    <w:name w:val="annotation text"/>
    <w:basedOn w:val="Normal"/>
    <w:link w:val="CommentTextChar"/>
    <w:uiPriority w:val="99"/>
    <w:rsid w:val="00906481"/>
    <w:rPr>
      <w:sz w:val="20"/>
      <w:szCs w:val="20"/>
    </w:rPr>
  </w:style>
  <w:style w:type="character" w:customStyle="1" w:styleId="CommentTextChar">
    <w:name w:val="Comment Text Char"/>
    <w:basedOn w:val="DefaultParagraphFont"/>
    <w:link w:val="CommentText"/>
    <w:uiPriority w:val="99"/>
    <w:rsid w:val="00906481"/>
  </w:style>
  <w:style w:type="paragraph" w:styleId="CommentSubject">
    <w:name w:val="annotation subject"/>
    <w:basedOn w:val="CommentText"/>
    <w:next w:val="CommentText"/>
    <w:link w:val="CommentSubjectChar"/>
    <w:rsid w:val="00906481"/>
    <w:rPr>
      <w:b/>
      <w:bCs/>
    </w:rPr>
  </w:style>
  <w:style w:type="character" w:customStyle="1" w:styleId="CommentSubjectChar">
    <w:name w:val="Comment Subject Char"/>
    <w:basedOn w:val="CommentTextChar"/>
    <w:link w:val="CommentSubject"/>
    <w:rsid w:val="00906481"/>
    <w:rPr>
      <w:b/>
      <w:bCs/>
    </w:rPr>
  </w:style>
  <w:style w:type="paragraph" w:styleId="ListParagraph">
    <w:name w:val="List Paragraph"/>
    <w:basedOn w:val="Normal"/>
    <w:uiPriority w:val="34"/>
    <w:qFormat/>
    <w:rsid w:val="00906481"/>
    <w:pPr>
      <w:ind w:left="720"/>
    </w:pPr>
  </w:style>
  <w:style w:type="character" w:styleId="Hyperlink">
    <w:name w:val="Hyperlink"/>
    <w:basedOn w:val="DefaultParagraphFont"/>
    <w:rsid w:val="00561D8D"/>
    <w:rPr>
      <w:color w:val="0000FF" w:themeColor="hyperlink"/>
      <w:u w:val="single"/>
    </w:rPr>
  </w:style>
  <w:style w:type="character" w:customStyle="1" w:styleId="Heading1Char">
    <w:name w:val="Heading 1 Char"/>
    <w:basedOn w:val="DefaultParagraphFont"/>
    <w:link w:val="Heading1"/>
    <w:uiPriority w:val="99"/>
    <w:rsid w:val="00CC6DA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applications@tsr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r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ra.gov.au/media/80497/dev%20plan%202010%20full%20and%20final.pdf" TargetMode="External"/><Relationship Id="rId4" Type="http://schemas.openxmlformats.org/officeDocument/2006/relationships/settings" Target="settings.xml"/><Relationship Id="rId9" Type="http://schemas.openxmlformats.org/officeDocument/2006/relationships/hyperlink" Target="http://www.tsra.gov.au/media/70463/ts-npa-rp-09-2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7477-DE41-4A22-B377-E8DE9438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Grant Guidelines</vt:lpstr>
    </vt:vector>
  </TitlesOfParts>
  <Company>TSRA</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Guidelines</dc:title>
  <dc:creator>shatter</dc:creator>
  <cp:lastModifiedBy>BANI Mary</cp:lastModifiedBy>
  <cp:revision>2</cp:revision>
  <cp:lastPrinted>2016-08-16T01:23:00Z</cp:lastPrinted>
  <dcterms:created xsi:type="dcterms:W3CDTF">2016-08-26T06:19:00Z</dcterms:created>
  <dcterms:modified xsi:type="dcterms:W3CDTF">2016-08-26T06:19:00Z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5e0535a6-5ab2-49cc-a985-bcd1f98cd4bb</vt:lpwstr>
  </property>
</Properties>
</file>